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xmlns:wps="http://schemas.microsoft.com/office/word/2010/wordprocessingShape">
  <w:body>
    <w:bookmarkStart w:id="0" w:name="page1"/>
    <w:bookmarkEnd w:id="0"/>
    <w:p>
      <w:pPr>
        <w:spacing w:after="0" w:line="104" w:lineRule="exact"/>
        <w:rPr>
          <w:sz w:val="24"/>
          <w:szCs w:val="24"/>
          <w:color w:val="auto"/>
        </w:rPr>
      </w:pPr>
    </w:p>
    <w:p>
      <w:pPr>
        <w:ind w:left="360"/>
        <w:spacing w:after="0" w:line="366" w:lineRule="exact"/>
        <w:rPr>
          <w:sz w:val="20"/>
          <w:szCs w:val="20"/>
          <w:color w:val="auto"/>
        </w:rPr>
      </w:pPr>
      <w:r>
        <w:rPr>
          <w:rFonts w:ascii="宋体" w:cs="宋体" w:eastAsia="宋体" w:hAnsi="宋体"/>
          <w:sz w:val="32"/>
          <w:szCs w:val="32"/>
          <w:color w:val="auto"/>
        </w:rPr>
        <w:t>附件</w:t>
      </w:r>
    </w:p>
    <w:p>
      <w:pPr>
        <w:spacing w:after="0" w:line="200" w:lineRule="exact"/>
        <w:rPr>
          <w:sz w:val="24"/>
          <w:szCs w:val="24"/>
          <w:color w:val="auto"/>
        </w:rPr>
      </w:pPr>
    </w:p>
    <w:p>
      <w:pPr>
        <w:spacing w:after="0" w:line="200" w:lineRule="exact"/>
        <w:rPr>
          <w:sz w:val="24"/>
          <w:szCs w:val="24"/>
          <w:color w:val="auto"/>
        </w:rPr>
      </w:pPr>
    </w:p>
    <w:p>
      <w:pPr>
        <w:spacing w:after="0" w:line="245" w:lineRule="exact"/>
        <w:rPr>
          <w:sz w:val="24"/>
          <w:szCs w:val="24"/>
          <w:color w:val="auto"/>
        </w:rPr>
      </w:pPr>
    </w:p>
    <w:p>
      <w:pPr>
        <w:jc w:val="center"/>
        <w:ind w:right="6"/>
        <w:spacing w:after="0" w:line="502" w:lineRule="exact"/>
        <w:rPr>
          <w:sz w:val="20"/>
          <w:szCs w:val="20"/>
          <w:color w:val="auto"/>
        </w:rPr>
      </w:pPr>
      <w:r>
        <w:rPr>
          <w:rFonts w:ascii="宋体" w:cs="宋体" w:eastAsia="宋体" w:hAnsi="宋体"/>
          <w:sz w:val="44"/>
          <w:szCs w:val="44"/>
          <w:b w:val="1"/>
          <w:bCs w:val="1"/>
          <w:color w:val="auto"/>
        </w:rPr>
        <w:t>金融企业国有资产评估报告指南</w:t>
      </w:r>
    </w:p>
    <w:p>
      <w:pPr>
        <w:spacing w:after="0" w:line="200" w:lineRule="exact"/>
        <w:rPr>
          <w:sz w:val="24"/>
          <w:szCs w:val="24"/>
          <w:color w:val="auto"/>
        </w:rPr>
      </w:pPr>
    </w:p>
    <w:p>
      <w:pPr>
        <w:spacing w:after="0" w:line="200" w:lineRule="exact"/>
        <w:rPr>
          <w:sz w:val="24"/>
          <w:szCs w:val="24"/>
          <w:color w:val="auto"/>
        </w:rPr>
      </w:pPr>
    </w:p>
    <w:p>
      <w:pPr>
        <w:spacing w:after="0" w:line="272" w:lineRule="exact"/>
        <w:rPr>
          <w:sz w:val="24"/>
          <w:szCs w:val="24"/>
          <w:color w:val="auto"/>
        </w:rPr>
      </w:pPr>
    </w:p>
    <w:p>
      <w:pPr>
        <w:jc w:val="center"/>
        <w:ind w:left="3200"/>
        <w:spacing w:after="0" w:line="366" w:lineRule="exact"/>
        <w:tabs>
          <w:tab w:leader="none" w:pos="300" w:val="left"/>
        </w:tabs>
        <w:rPr>
          <w:sz w:val="20"/>
          <w:szCs w:val="20"/>
          <w:color w:val="auto"/>
        </w:rPr>
      </w:pPr>
      <w:r>
        <w:rPr>
          <w:rFonts w:ascii="宋体" w:cs="宋体" w:eastAsia="宋体" w:hAnsi="宋体"/>
          <w:sz w:val="32"/>
          <w:szCs w:val="32"/>
          <w:color w:val="auto"/>
        </w:rPr>
        <w:t>第一章</w:t>
        <w:tab/>
        <w:t>总则</w:t>
      </w:r>
    </w:p>
    <w:p>
      <w:pPr>
        <w:spacing w:after="0" w:line="200" w:lineRule="exact"/>
        <w:rPr>
          <w:sz w:val="24"/>
          <w:szCs w:val="24"/>
          <w:color w:val="auto"/>
        </w:rPr>
      </w:pPr>
    </w:p>
    <w:p>
      <w:pPr>
        <w:spacing w:after="0" w:line="215" w:lineRule="exact"/>
        <w:rPr>
          <w:sz w:val="24"/>
          <w:szCs w:val="24"/>
          <w:color w:val="auto"/>
        </w:rPr>
      </w:pPr>
    </w:p>
    <w:p>
      <w:pPr>
        <w:ind w:left="1000"/>
        <w:spacing w:after="0" w:line="366" w:lineRule="exact"/>
        <w:tabs>
          <w:tab w:leader="none" w:pos="2260" w:val="left"/>
        </w:tabs>
        <w:rPr>
          <w:sz w:val="20"/>
          <w:szCs w:val="20"/>
          <w:color w:val="auto"/>
        </w:rPr>
      </w:pPr>
      <w:r>
        <w:rPr>
          <w:rFonts w:ascii="宋体" w:cs="宋体" w:eastAsia="宋体" w:hAnsi="宋体"/>
          <w:sz w:val="32"/>
          <w:szCs w:val="32"/>
          <w:b w:val="1"/>
          <w:bCs w:val="1"/>
          <w:color w:val="auto"/>
        </w:rPr>
        <w:t>第一条</w:t>
      </w:r>
      <w:r>
        <w:rPr>
          <w:sz w:val="20"/>
          <w:szCs w:val="20"/>
          <w:color w:val="auto"/>
        </w:rPr>
        <w:tab/>
      </w:r>
      <w:r>
        <w:rPr>
          <w:rFonts w:ascii="宋体" w:cs="宋体" w:eastAsia="宋体" w:hAnsi="宋体"/>
          <w:sz w:val="32"/>
          <w:szCs w:val="32"/>
          <w:color w:val="auto"/>
        </w:rPr>
        <w:t>为规范金融企业国有资产评估报告编制和出</w:t>
      </w:r>
    </w:p>
    <w:p>
      <w:pPr>
        <w:spacing w:after="0" w:line="270" w:lineRule="exact"/>
        <w:rPr>
          <w:sz w:val="24"/>
          <w:szCs w:val="24"/>
          <w:color w:val="auto"/>
        </w:rPr>
      </w:pPr>
    </w:p>
    <w:p>
      <w:pPr>
        <w:jc w:val="center"/>
        <w:ind w:right="6"/>
        <w:spacing w:after="0" w:line="354" w:lineRule="exact"/>
        <w:rPr>
          <w:sz w:val="20"/>
          <w:szCs w:val="20"/>
          <w:color w:val="auto"/>
        </w:rPr>
      </w:pPr>
      <w:r>
        <w:rPr>
          <w:rFonts w:ascii="宋体" w:cs="宋体" w:eastAsia="宋体" w:hAnsi="宋体"/>
          <w:sz w:val="31"/>
          <w:szCs w:val="31"/>
          <w:color w:val="auto"/>
        </w:rPr>
        <w:t>具行为，保护资产评估当事人合法权益和公共利益，根据金</w:t>
      </w:r>
    </w:p>
    <w:p>
      <w:pPr>
        <w:spacing w:after="0" w:line="249" w:lineRule="exact"/>
        <w:rPr>
          <w:sz w:val="24"/>
          <w:szCs w:val="24"/>
          <w:color w:val="auto"/>
        </w:rPr>
      </w:pPr>
    </w:p>
    <w:p>
      <w:pPr>
        <w:ind w:left="360"/>
        <w:spacing w:after="0" w:line="376" w:lineRule="exact"/>
        <w:rPr>
          <w:sz w:val="20"/>
          <w:szCs w:val="20"/>
          <w:color w:val="auto"/>
        </w:rPr>
      </w:pPr>
      <w:r>
        <w:rPr>
          <w:rFonts w:ascii="宋体" w:cs="宋体" w:eastAsia="宋体" w:hAnsi="宋体"/>
          <w:sz w:val="31"/>
          <w:szCs w:val="31"/>
          <w:color w:val="auto"/>
        </w:rPr>
        <w:t>融企业国有资产评估管理有关规定和《资产评估执业准则</w:t>
      </w:r>
      <w:r>
        <w:rPr>
          <w:rFonts w:ascii="Arial" w:cs="Arial" w:eastAsia="Arial" w:hAnsi="Arial"/>
          <w:sz w:val="31"/>
          <w:szCs w:val="31"/>
          <w:color w:val="auto"/>
        </w:rPr>
        <w:t>—</w:t>
      </w:r>
    </w:p>
    <w:p>
      <w:pPr>
        <w:spacing w:after="0" w:line="236" w:lineRule="exact"/>
        <w:rPr>
          <w:sz w:val="24"/>
          <w:szCs w:val="24"/>
          <w:color w:val="auto"/>
        </w:rPr>
      </w:pPr>
    </w:p>
    <w:p>
      <w:pPr>
        <w:ind w:left="360"/>
        <w:spacing w:after="0" w:line="388" w:lineRule="exact"/>
        <w:rPr>
          <w:sz w:val="20"/>
          <w:szCs w:val="20"/>
          <w:color w:val="auto"/>
        </w:rPr>
      </w:pPr>
      <w:r>
        <w:rPr>
          <w:rFonts w:ascii="Arial" w:cs="Arial" w:eastAsia="Arial" w:hAnsi="Arial"/>
          <w:sz w:val="32"/>
          <w:szCs w:val="32"/>
          <w:color w:val="auto"/>
        </w:rPr>
        <w:t>—</w:t>
      </w:r>
      <w:r>
        <w:rPr>
          <w:rFonts w:ascii="宋体" w:cs="宋体" w:eastAsia="宋体" w:hAnsi="宋体"/>
          <w:sz w:val="32"/>
          <w:szCs w:val="32"/>
          <w:color w:val="auto"/>
        </w:rPr>
        <w:t>资产评估报告》制定本指南。</w:t>
      </w:r>
    </w:p>
    <w:p>
      <w:pPr>
        <w:spacing w:after="0" w:line="259" w:lineRule="exact"/>
        <w:rPr>
          <w:sz w:val="24"/>
          <w:szCs w:val="24"/>
          <w:color w:val="auto"/>
        </w:rPr>
      </w:pPr>
    </w:p>
    <w:p>
      <w:pPr>
        <w:ind w:left="1000"/>
        <w:spacing w:after="0" w:line="366" w:lineRule="exact"/>
        <w:tabs>
          <w:tab w:leader="none" w:pos="2260" w:val="left"/>
        </w:tabs>
        <w:rPr>
          <w:sz w:val="20"/>
          <w:szCs w:val="20"/>
          <w:color w:val="auto"/>
        </w:rPr>
      </w:pPr>
      <w:r>
        <w:rPr>
          <w:rFonts w:ascii="宋体" w:cs="宋体" w:eastAsia="宋体" w:hAnsi="宋体"/>
          <w:sz w:val="32"/>
          <w:szCs w:val="32"/>
          <w:b w:val="1"/>
          <w:bCs w:val="1"/>
          <w:color w:val="auto"/>
        </w:rPr>
        <w:t>第二条</w:t>
      </w:r>
      <w:r>
        <w:rPr>
          <w:sz w:val="20"/>
          <w:szCs w:val="20"/>
          <w:color w:val="auto"/>
        </w:rPr>
        <w:tab/>
      </w:r>
      <w:r>
        <w:rPr>
          <w:rFonts w:ascii="宋体" w:cs="宋体" w:eastAsia="宋体" w:hAnsi="宋体"/>
          <w:sz w:val="32"/>
          <w:szCs w:val="32"/>
          <w:color w:val="auto"/>
        </w:rPr>
        <w:t>资产评估机构及其资产评估师根据金融企业</w:t>
      </w:r>
    </w:p>
    <w:p>
      <w:pPr>
        <w:spacing w:after="0" w:line="270" w:lineRule="exact"/>
        <w:rPr>
          <w:sz w:val="24"/>
          <w:szCs w:val="24"/>
          <w:color w:val="auto"/>
        </w:rPr>
      </w:pPr>
    </w:p>
    <w:p>
      <w:pPr>
        <w:ind w:left="360"/>
        <w:spacing w:after="0" w:line="354" w:lineRule="exact"/>
        <w:rPr>
          <w:sz w:val="20"/>
          <w:szCs w:val="20"/>
          <w:color w:val="auto"/>
        </w:rPr>
      </w:pPr>
      <w:r>
        <w:rPr>
          <w:rFonts w:ascii="宋体" w:cs="宋体" w:eastAsia="宋体" w:hAnsi="宋体"/>
          <w:sz w:val="31"/>
          <w:szCs w:val="31"/>
          <w:color w:val="auto"/>
        </w:rPr>
        <w:t>国有资产评估管理的有关规定执行资产评估业务，编制和出</w:t>
      </w:r>
    </w:p>
    <w:p>
      <w:pPr>
        <w:spacing w:after="0" w:line="259" w:lineRule="exact"/>
        <w:rPr>
          <w:sz w:val="24"/>
          <w:szCs w:val="24"/>
          <w:color w:val="auto"/>
        </w:rPr>
      </w:pPr>
    </w:p>
    <w:p>
      <w:pPr>
        <w:ind w:left="360"/>
        <w:spacing w:after="0" w:line="366" w:lineRule="exact"/>
        <w:rPr>
          <w:sz w:val="20"/>
          <w:szCs w:val="20"/>
          <w:color w:val="auto"/>
        </w:rPr>
      </w:pPr>
      <w:r>
        <w:rPr>
          <w:rFonts w:ascii="宋体" w:cs="宋体" w:eastAsia="宋体" w:hAnsi="宋体"/>
          <w:sz w:val="32"/>
          <w:szCs w:val="32"/>
          <w:color w:val="auto"/>
        </w:rPr>
        <w:t>具金融企业国有资产评估报告，应当遵守本指南。</w:t>
      </w:r>
    </w:p>
    <w:p>
      <w:pPr>
        <w:spacing w:after="0" w:line="270" w:lineRule="exact"/>
        <w:rPr>
          <w:sz w:val="24"/>
          <w:szCs w:val="24"/>
          <w:color w:val="auto"/>
        </w:rPr>
      </w:pPr>
    </w:p>
    <w:p>
      <w:pPr>
        <w:ind w:left="1000"/>
        <w:spacing w:after="0" w:line="354" w:lineRule="exact"/>
        <w:rPr>
          <w:sz w:val="20"/>
          <w:szCs w:val="20"/>
          <w:color w:val="auto"/>
        </w:rPr>
      </w:pPr>
      <w:r>
        <w:rPr>
          <w:rFonts w:ascii="宋体" w:cs="宋体" w:eastAsia="宋体" w:hAnsi="宋体"/>
          <w:sz w:val="31"/>
          <w:szCs w:val="31"/>
          <w:color w:val="auto"/>
        </w:rPr>
        <w:t>本指南所称金融企业，是指占有国有资产并取得金融业</w:t>
      </w:r>
    </w:p>
    <w:p>
      <w:pPr>
        <w:spacing w:after="0" w:line="271" w:lineRule="exact"/>
        <w:rPr>
          <w:sz w:val="24"/>
          <w:szCs w:val="24"/>
          <w:color w:val="auto"/>
        </w:rPr>
      </w:pPr>
    </w:p>
    <w:p>
      <w:pPr>
        <w:ind w:left="360"/>
        <w:spacing w:after="0" w:line="354" w:lineRule="exact"/>
        <w:rPr>
          <w:sz w:val="20"/>
          <w:szCs w:val="20"/>
          <w:color w:val="auto"/>
        </w:rPr>
      </w:pPr>
      <w:r>
        <w:rPr>
          <w:rFonts w:ascii="宋体" w:cs="宋体" w:eastAsia="宋体" w:hAnsi="宋体"/>
          <w:sz w:val="31"/>
          <w:szCs w:val="31"/>
          <w:color w:val="auto"/>
        </w:rPr>
        <w:t>务许可证的企业、金融控股公司以及其他从事金融类业务的</w:t>
      </w:r>
    </w:p>
    <w:p>
      <w:pPr>
        <w:spacing w:after="0" w:line="259" w:lineRule="exact"/>
        <w:rPr>
          <w:sz w:val="24"/>
          <w:szCs w:val="24"/>
          <w:color w:val="auto"/>
        </w:rPr>
      </w:pPr>
    </w:p>
    <w:p>
      <w:pPr>
        <w:ind w:left="360"/>
        <w:spacing w:after="0" w:line="366" w:lineRule="exact"/>
        <w:rPr>
          <w:sz w:val="20"/>
          <w:szCs w:val="20"/>
          <w:color w:val="auto"/>
        </w:rPr>
      </w:pPr>
      <w:r>
        <w:rPr>
          <w:rFonts w:ascii="宋体" w:cs="宋体" w:eastAsia="宋体" w:hAnsi="宋体"/>
          <w:sz w:val="32"/>
          <w:szCs w:val="32"/>
          <w:color w:val="auto"/>
        </w:rPr>
        <w:t>企业。</w:t>
      </w:r>
    </w:p>
    <w:p>
      <w:pPr>
        <w:spacing w:after="0" w:line="270" w:lineRule="exact"/>
        <w:rPr>
          <w:sz w:val="24"/>
          <w:szCs w:val="24"/>
          <w:color w:val="auto"/>
        </w:rPr>
      </w:pPr>
    </w:p>
    <w:p>
      <w:pPr>
        <w:ind w:left="1000"/>
        <w:spacing w:after="0" w:line="354" w:lineRule="exact"/>
        <w:tabs>
          <w:tab w:leader="none" w:pos="2260" w:val="left"/>
        </w:tabs>
        <w:rPr>
          <w:sz w:val="20"/>
          <w:szCs w:val="20"/>
          <w:color w:val="auto"/>
        </w:rPr>
      </w:pPr>
      <w:r>
        <w:rPr>
          <w:rFonts w:ascii="宋体" w:cs="宋体" w:eastAsia="宋体" w:hAnsi="宋体"/>
          <w:sz w:val="31"/>
          <w:szCs w:val="31"/>
          <w:b w:val="1"/>
          <w:bCs w:val="1"/>
          <w:color w:val="auto"/>
        </w:rPr>
        <w:t>第三条</w:t>
      </w:r>
      <w:r>
        <w:rPr>
          <w:sz w:val="20"/>
          <w:szCs w:val="20"/>
          <w:color w:val="auto"/>
        </w:rPr>
        <w:tab/>
      </w:r>
      <w:r>
        <w:rPr>
          <w:rFonts w:ascii="宋体" w:cs="宋体" w:eastAsia="宋体" w:hAnsi="宋体"/>
          <w:sz w:val="31"/>
          <w:szCs w:val="31"/>
          <w:color w:val="auto"/>
        </w:rPr>
        <w:t>本指南所指金融企业国有资产评估报告（以下</w:t>
      </w:r>
    </w:p>
    <w:p>
      <w:pPr>
        <w:spacing w:after="0" w:line="270" w:lineRule="exact"/>
        <w:rPr>
          <w:sz w:val="24"/>
          <w:szCs w:val="24"/>
          <w:color w:val="auto"/>
        </w:rPr>
      </w:pPr>
    </w:p>
    <w:p>
      <w:pPr>
        <w:ind w:left="360"/>
        <w:spacing w:after="0" w:line="354" w:lineRule="exact"/>
        <w:rPr>
          <w:sz w:val="20"/>
          <w:szCs w:val="20"/>
          <w:color w:val="auto"/>
        </w:rPr>
      </w:pPr>
      <w:r>
        <w:rPr>
          <w:rFonts w:ascii="宋体" w:cs="宋体" w:eastAsia="宋体" w:hAnsi="宋体"/>
          <w:sz w:val="31"/>
          <w:szCs w:val="31"/>
          <w:color w:val="auto"/>
        </w:rPr>
        <w:t>简称资产评估报告），由标题及文号、目录、声明、摘要、</w:t>
      </w:r>
    </w:p>
    <w:p>
      <w:pPr>
        <w:spacing w:after="0" w:line="259" w:lineRule="exact"/>
        <w:rPr>
          <w:sz w:val="24"/>
          <w:szCs w:val="24"/>
          <w:color w:val="auto"/>
        </w:rPr>
      </w:pPr>
    </w:p>
    <w:p>
      <w:pPr>
        <w:ind w:left="360"/>
        <w:spacing w:after="0" w:line="366" w:lineRule="exact"/>
        <w:rPr>
          <w:sz w:val="20"/>
          <w:szCs w:val="20"/>
          <w:color w:val="auto"/>
        </w:rPr>
      </w:pPr>
      <w:r>
        <w:rPr>
          <w:rFonts w:ascii="宋体" w:cs="宋体" w:eastAsia="宋体" w:hAnsi="宋体"/>
          <w:sz w:val="32"/>
          <w:szCs w:val="32"/>
          <w:color w:val="auto"/>
        </w:rPr>
        <w:t>正文、附件、评估明细表和评估说明构成。</w:t>
      </w:r>
    </w:p>
    <w:p>
      <w:pPr>
        <w:spacing w:after="0" w:line="270" w:lineRule="exact"/>
        <w:rPr>
          <w:sz w:val="24"/>
          <w:szCs w:val="24"/>
          <w:color w:val="auto"/>
        </w:rPr>
      </w:pPr>
    </w:p>
    <w:p>
      <w:pPr>
        <w:ind w:left="1000"/>
        <w:spacing w:after="0" w:line="354" w:lineRule="exact"/>
        <w:tabs>
          <w:tab w:leader="none" w:pos="2260" w:val="left"/>
        </w:tabs>
        <w:rPr>
          <w:sz w:val="20"/>
          <w:szCs w:val="20"/>
          <w:color w:val="auto"/>
        </w:rPr>
      </w:pPr>
      <w:r>
        <w:rPr>
          <w:rFonts w:ascii="宋体" w:cs="宋体" w:eastAsia="宋体" w:hAnsi="宋体"/>
          <w:sz w:val="31"/>
          <w:szCs w:val="31"/>
          <w:b w:val="1"/>
          <w:bCs w:val="1"/>
          <w:color w:val="auto"/>
        </w:rPr>
        <w:t>第四条</w:t>
      </w:r>
      <w:r>
        <w:rPr>
          <w:sz w:val="20"/>
          <w:szCs w:val="20"/>
          <w:color w:val="auto"/>
        </w:rPr>
        <w:tab/>
      </w:r>
      <w:r>
        <w:rPr>
          <w:rFonts w:ascii="宋体" w:cs="宋体" w:eastAsia="宋体" w:hAnsi="宋体"/>
          <w:sz w:val="31"/>
          <w:szCs w:val="31"/>
          <w:color w:val="auto"/>
        </w:rPr>
        <w:t>资产评估机构及其资产评估师应当清晰、准确</w:t>
      </w:r>
    </w:p>
    <w:p>
      <w:pPr>
        <w:spacing w:after="0" w:line="260" w:lineRule="exact"/>
        <w:rPr>
          <w:sz w:val="24"/>
          <w:szCs w:val="24"/>
          <w:color w:val="auto"/>
        </w:rPr>
      </w:pPr>
    </w:p>
    <w:p>
      <w:pPr>
        <w:ind w:left="360"/>
        <w:spacing w:after="0" w:line="366" w:lineRule="exact"/>
        <w:rPr>
          <w:sz w:val="20"/>
          <w:szCs w:val="20"/>
          <w:color w:val="auto"/>
        </w:rPr>
      </w:pPr>
      <w:r>
        <w:rPr>
          <w:rFonts w:ascii="宋体" w:cs="宋体" w:eastAsia="宋体" w:hAnsi="宋体"/>
          <w:sz w:val="32"/>
          <w:szCs w:val="32"/>
          <w:color w:val="auto"/>
        </w:rPr>
        <w:t>陈述资产评估报告内容，不得使用误导性的表述。</w:t>
      </w:r>
    </w:p>
    <w:p>
      <w:pPr>
        <w:spacing w:after="0" w:line="270" w:lineRule="exact"/>
        <w:rPr>
          <w:sz w:val="24"/>
          <w:szCs w:val="24"/>
          <w:color w:val="auto"/>
        </w:rPr>
      </w:pPr>
    </w:p>
    <w:p>
      <w:pPr>
        <w:ind w:left="1000"/>
        <w:spacing w:after="0" w:line="354" w:lineRule="exact"/>
        <w:tabs>
          <w:tab w:leader="none" w:pos="2260" w:val="left"/>
        </w:tabs>
        <w:rPr>
          <w:sz w:val="20"/>
          <w:szCs w:val="20"/>
          <w:color w:val="auto"/>
        </w:rPr>
      </w:pPr>
      <w:r>
        <w:rPr>
          <w:rFonts w:ascii="宋体" w:cs="宋体" w:eastAsia="宋体" w:hAnsi="宋体"/>
          <w:sz w:val="31"/>
          <w:szCs w:val="31"/>
          <w:b w:val="1"/>
          <w:bCs w:val="1"/>
          <w:color w:val="auto"/>
        </w:rPr>
        <w:t>第五条</w:t>
      </w:r>
      <w:r>
        <w:rPr>
          <w:sz w:val="20"/>
          <w:szCs w:val="20"/>
          <w:color w:val="auto"/>
        </w:rPr>
        <w:tab/>
      </w:r>
      <w:r>
        <w:rPr>
          <w:rFonts w:ascii="宋体" w:cs="宋体" w:eastAsia="宋体" w:hAnsi="宋体"/>
          <w:sz w:val="31"/>
          <w:szCs w:val="31"/>
          <w:color w:val="auto"/>
        </w:rPr>
        <w:t>资产评估报告提供的信息，应当使金融企业国</w:t>
      </w:r>
    </w:p>
    <w:p>
      <w:pPr>
        <w:spacing w:after="0" w:line="259" w:lineRule="exact"/>
        <w:rPr>
          <w:sz w:val="24"/>
          <w:szCs w:val="24"/>
          <w:color w:val="auto"/>
        </w:rPr>
      </w:pPr>
    </w:p>
    <w:p>
      <w:pPr>
        <w:ind w:left="360"/>
        <w:spacing w:after="0" w:line="366" w:lineRule="exact"/>
        <w:rPr>
          <w:sz w:val="20"/>
          <w:szCs w:val="20"/>
          <w:color w:val="auto"/>
        </w:rPr>
      </w:pPr>
      <w:r>
        <w:rPr>
          <w:rFonts w:ascii="宋体" w:cs="宋体" w:eastAsia="宋体" w:hAnsi="宋体"/>
          <w:sz w:val="32"/>
          <w:szCs w:val="32"/>
          <w:color w:val="auto"/>
        </w:rPr>
        <w:t>有资产监督管理部门和相关机构能够全面了解资产评估情</w:t>
      </w:r>
    </w:p>
    <w:p>
      <w:pPr>
        <w:sectPr>
          <w:pgSz w:w="11900" w:h="16838" w:orient="portrait"/>
          <w:cols w:equalWidth="0" w:num="1">
            <w:col w:w="9026"/>
          </w:cols>
          <w:pgMar w:left="1440" w:top="1440" w:right="1440" w:bottom="1440" w:gutter="0" w:footer="0" w:header="0"/>
        </w:sectPr>
      </w:pPr>
    </w:p>
    <w:bookmarkStart w:id="1" w:name="page2"/>
    <w:bookmarkEnd w:id="1"/>
    <w:p>
      <w:pPr>
        <w:spacing w:after="0" w:line="104"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况，使资产评估报告使用人正确理解评估结论。</w:t>
      </w:r>
    </w:p>
    <w:p>
      <w:pPr>
        <w:spacing w:after="0" w:line="259" w:lineRule="exact"/>
        <w:rPr>
          <w:sz w:val="20"/>
          <w:szCs w:val="20"/>
          <w:color w:val="auto"/>
        </w:rPr>
      </w:pPr>
    </w:p>
    <w:p>
      <w:pPr>
        <w:ind w:left="1000"/>
        <w:spacing w:after="0" w:line="366" w:lineRule="exact"/>
        <w:tabs>
          <w:tab w:leader="none" w:pos="2260" w:val="left"/>
        </w:tabs>
        <w:rPr>
          <w:sz w:val="20"/>
          <w:szCs w:val="20"/>
          <w:color w:val="auto"/>
        </w:rPr>
      </w:pPr>
      <w:r>
        <w:rPr>
          <w:rFonts w:ascii="宋体" w:cs="宋体" w:eastAsia="宋体" w:hAnsi="宋体"/>
          <w:sz w:val="32"/>
          <w:szCs w:val="32"/>
          <w:b w:val="1"/>
          <w:bCs w:val="1"/>
          <w:color w:val="auto"/>
        </w:rPr>
        <w:t>第六条</w:t>
      </w:r>
      <w:r>
        <w:rPr>
          <w:sz w:val="20"/>
          <w:szCs w:val="20"/>
          <w:color w:val="auto"/>
        </w:rPr>
        <w:tab/>
      </w:r>
      <w:r>
        <w:rPr>
          <w:rFonts w:ascii="宋体" w:cs="宋体" w:eastAsia="宋体" w:hAnsi="宋体"/>
          <w:sz w:val="32"/>
          <w:szCs w:val="32"/>
          <w:color w:val="auto"/>
        </w:rPr>
        <w:t>资产评估报告内容应当完整，符合本指南的要</w:t>
      </w:r>
    </w:p>
    <w:p>
      <w:pPr>
        <w:spacing w:after="0" w:line="259"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求。</w:t>
      </w:r>
    </w:p>
    <w:p>
      <w:pPr>
        <w:spacing w:after="0" w:line="200" w:lineRule="exact"/>
        <w:rPr>
          <w:sz w:val="20"/>
          <w:szCs w:val="20"/>
          <w:color w:val="auto"/>
        </w:rPr>
      </w:pPr>
    </w:p>
    <w:p>
      <w:pPr>
        <w:spacing w:after="0" w:line="215" w:lineRule="exact"/>
        <w:rPr>
          <w:sz w:val="20"/>
          <w:szCs w:val="20"/>
          <w:color w:val="auto"/>
        </w:rPr>
      </w:pPr>
    </w:p>
    <w:p>
      <w:pPr>
        <w:jc w:val="center"/>
        <w:ind w:left="1760"/>
        <w:spacing w:after="0" w:line="366" w:lineRule="exact"/>
        <w:tabs>
          <w:tab w:leader="none" w:pos="300" w:val="left"/>
        </w:tabs>
        <w:rPr>
          <w:sz w:val="20"/>
          <w:szCs w:val="20"/>
          <w:color w:val="auto"/>
        </w:rPr>
      </w:pPr>
      <w:r>
        <w:rPr>
          <w:rFonts w:ascii="宋体" w:cs="宋体" w:eastAsia="宋体" w:hAnsi="宋体"/>
          <w:sz w:val="32"/>
          <w:szCs w:val="32"/>
          <w:color w:val="auto"/>
        </w:rPr>
        <w:t>第二章</w:t>
        <w:tab/>
        <w:t>标题及文号、声明和摘要</w:t>
      </w:r>
    </w:p>
    <w:p>
      <w:pPr>
        <w:spacing w:after="0" w:line="200" w:lineRule="exact"/>
        <w:rPr>
          <w:sz w:val="20"/>
          <w:szCs w:val="20"/>
          <w:color w:val="auto"/>
        </w:rPr>
      </w:pPr>
    </w:p>
    <w:p>
      <w:pPr>
        <w:spacing w:after="0" w:line="263" w:lineRule="exact"/>
        <w:rPr>
          <w:sz w:val="20"/>
          <w:szCs w:val="20"/>
          <w:color w:val="auto"/>
        </w:rPr>
      </w:pPr>
    </w:p>
    <w:p>
      <w:pPr>
        <w:ind w:left="360" w:right="506" w:firstLine="643"/>
        <w:spacing w:after="0" w:line="522" w:lineRule="exact"/>
        <w:rPr>
          <w:sz w:val="20"/>
          <w:szCs w:val="20"/>
          <w:color w:val="auto"/>
        </w:rPr>
      </w:pPr>
      <w:r>
        <w:rPr>
          <w:rFonts w:ascii="宋体" w:cs="宋体" w:eastAsia="宋体" w:hAnsi="宋体"/>
          <w:sz w:val="32"/>
          <w:szCs w:val="32"/>
          <w:b w:val="1"/>
          <w:bCs w:val="1"/>
          <w:color w:val="auto"/>
        </w:rPr>
        <w:t xml:space="preserve">第七条 </w:t>
      </w:r>
      <w:r>
        <w:rPr>
          <w:rFonts w:ascii="宋体" w:cs="宋体" w:eastAsia="宋体" w:hAnsi="宋体"/>
          <w:sz w:val="32"/>
          <w:szCs w:val="32"/>
          <w:color w:val="auto"/>
        </w:rPr>
        <w:t>资产评估报告标题应当简明清晰，一般采用</w:t>
      </w:r>
      <w:r>
        <w:rPr>
          <w:rFonts w:ascii="Arial" w:cs="Arial" w:eastAsia="Arial" w:hAnsi="Arial"/>
          <w:sz w:val="32"/>
          <w:szCs w:val="32"/>
          <w:color w:val="auto"/>
        </w:rPr>
        <w:t>“</w:t>
      </w:r>
      <w:r>
        <w:rPr>
          <w:rFonts w:ascii="宋体" w:cs="宋体" w:eastAsia="宋体" w:hAnsi="宋体"/>
          <w:sz w:val="32"/>
          <w:szCs w:val="32"/>
          <w:color w:val="auto"/>
        </w:rPr>
        <w:t>企业名称</w:t>
      </w:r>
      <w:r>
        <w:rPr>
          <w:rFonts w:ascii="Arial" w:cs="Arial" w:eastAsia="Arial" w:hAnsi="Arial"/>
          <w:sz w:val="32"/>
          <w:szCs w:val="32"/>
          <w:color w:val="auto"/>
        </w:rPr>
        <w:t>+</w:t>
      </w:r>
      <w:r>
        <w:rPr>
          <w:rFonts w:ascii="宋体" w:cs="宋体" w:eastAsia="宋体" w:hAnsi="宋体"/>
          <w:sz w:val="32"/>
          <w:szCs w:val="32"/>
          <w:color w:val="auto"/>
        </w:rPr>
        <w:t>经济行为关键词</w:t>
      </w:r>
      <w:r>
        <w:rPr>
          <w:rFonts w:ascii="Arial" w:cs="Arial" w:eastAsia="Arial" w:hAnsi="Arial"/>
          <w:sz w:val="32"/>
          <w:szCs w:val="32"/>
          <w:color w:val="auto"/>
        </w:rPr>
        <w:t>+</w:t>
      </w:r>
      <w:r>
        <w:rPr>
          <w:rFonts w:ascii="宋体" w:cs="宋体" w:eastAsia="宋体" w:hAnsi="宋体"/>
          <w:sz w:val="32"/>
          <w:szCs w:val="32"/>
          <w:color w:val="auto"/>
        </w:rPr>
        <w:t>评估对象</w:t>
      </w:r>
      <w:r>
        <w:rPr>
          <w:rFonts w:ascii="Arial" w:cs="Arial" w:eastAsia="Arial" w:hAnsi="Arial"/>
          <w:sz w:val="32"/>
          <w:szCs w:val="32"/>
          <w:color w:val="auto"/>
        </w:rPr>
        <w:t>+</w:t>
      </w:r>
      <w:r>
        <w:rPr>
          <w:rFonts w:ascii="宋体" w:cs="宋体" w:eastAsia="宋体" w:hAnsi="宋体"/>
          <w:sz w:val="32"/>
          <w:szCs w:val="32"/>
          <w:color w:val="auto"/>
        </w:rPr>
        <w:t>资产评估报告</w:t>
      </w:r>
      <w:r>
        <w:rPr>
          <w:rFonts w:ascii="Arial" w:cs="Arial" w:eastAsia="Arial" w:hAnsi="Arial"/>
          <w:sz w:val="32"/>
          <w:szCs w:val="32"/>
          <w:color w:val="auto"/>
        </w:rPr>
        <w:t>”</w:t>
      </w:r>
      <w:r>
        <w:rPr>
          <w:rFonts w:ascii="宋体" w:cs="宋体" w:eastAsia="宋体" w:hAnsi="宋体"/>
          <w:sz w:val="32"/>
          <w:szCs w:val="32"/>
          <w:color w:val="auto"/>
        </w:rPr>
        <w:t>的形式。</w:t>
      </w:r>
    </w:p>
    <w:p>
      <w:pPr>
        <w:spacing w:after="0" w:line="260" w:lineRule="exact"/>
        <w:rPr>
          <w:sz w:val="20"/>
          <w:szCs w:val="20"/>
          <w:color w:val="auto"/>
        </w:rPr>
      </w:pPr>
    </w:p>
    <w:p>
      <w:pPr>
        <w:ind w:left="1000"/>
        <w:spacing w:after="0" w:line="366" w:lineRule="exact"/>
        <w:tabs>
          <w:tab w:leader="none" w:pos="2300" w:val="left"/>
        </w:tabs>
        <w:rPr>
          <w:sz w:val="20"/>
          <w:szCs w:val="20"/>
          <w:color w:val="auto"/>
        </w:rPr>
      </w:pPr>
      <w:r>
        <w:rPr>
          <w:rFonts w:ascii="宋体" w:cs="宋体" w:eastAsia="宋体" w:hAnsi="宋体"/>
          <w:sz w:val="32"/>
          <w:szCs w:val="32"/>
          <w:b w:val="1"/>
          <w:bCs w:val="1"/>
          <w:color w:val="auto"/>
        </w:rPr>
        <w:t>第八条</w:t>
      </w:r>
      <w:r>
        <w:rPr>
          <w:sz w:val="20"/>
          <w:szCs w:val="20"/>
          <w:color w:val="auto"/>
        </w:rPr>
        <w:tab/>
      </w:r>
      <w:r>
        <w:rPr>
          <w:rFonts w:ascii="宋体" w:cs="宋体" w:eastAsia="宋体" w:hAnsi="宋体"/>
          <w:sz w:val="32"/>
          <w:szCs w:val="32"/>
          <w:color w:val="auto"/>
        </w:rPr>
        <w:t>资产评估报告文号包括资产评估机构特征字、</w:t>
      </w:r>
    </w:p>
    <w:p>
      <w:pPr>
        <w:spacing w:after="0" w:line="259"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种类特征字、年份、报告序号。</w:t>
      </w:r>
    </w:p>
    <w:p>
      <w:pPr>
        <w:spacing w:after="0" w:line="259" w:lineRule="exact"/>
        <w:rPr>
          <w:sz w:val="20"/>
          <w:szCs w:val="20"/>
          <w:color w:val="auto"/>
        </w:rPr>
      </w:pPr>
    </w:p>
    <w:p>
      <w:pPr>
        <w:ind w:left="1000"/>
        <w:spacing w:after="0" w:line="366" w:lineRule="exact"/>
        <w:tabs>
          <w:tab w:leader="none" w:pos="2260" w:val="left"/>
        </w:tabs>
        <w:rPr>
          <w:sz w:val="20"/>
          <w:szCs w:val="20"/>
          <w:color w:val="auto"/>
        </w:rPr>
      </w:pPr>
      <w:r>
        <w:rPr>
          <w:rFonts w:ascii="宋体" w:cs="宋体" w:eastAsia="宋体" w:hAnsi="宋体"/>
          <w:sz w:val="32"/>
          <w:szCs w:val="32"/>
          <w:b w:val="1"/>
          <w:bCs w:val="1"/>
          <w:color w:val="auto"/>
        </w:rPr>
        <w:t>第九条</w:t>
      </w:r>
      <w:r>
        <w:rPr>
          <w:sz w:val="20"/>
          <w:szCs w:val="20"/>
          <w:color w:val="auto"/>
        </w:rPr>
        <w:tab/>
      </w:r>
      <w:r>
        <w:rPr>
          <w:rFonts w:ascii="宋体" w:cs="宋体" w:eastAsia="宋体" w:hAnsi="宋体"/>
          <w:sz w:val="32"/>
          <w:szCs w:val="32"/>
          <w:color w:val="auto"/>
        </w:rPr>
        <w:t>资产评估报告声明通常包括以下内容：</w:t>
      </w:r>
    </w:p>
    <w:p>
      <w:pPr>
        <w:spacing w:after="0" w:line="307" w:lineRule="exact"/>
        <w:rPr>
          <w:sz w:val="20"/>
          <w:szCs w:val="20"/>
          <w:color w:val="auto"/>
        </w:rPr>
      </w:pPr>
    </w:p>
    <w:p>
      <w:pPr>
        <w:ind w:left="360" w:right="366" w:firstLine="641"/>
        <w:spacing w:after="0" w:line="522" w:lineRule="exact"/>
        <w:rPr>
          <w:sz w:val="20"/>
          <w:szCs w:val="20"/>
          <w:color w:val="auto"/>
        </w:rPr>
      </w:pPr>
      <w:r>
        <w:rPr>
          <w:rFonts w:ascii="宋体" w:cs="宋体" w:eastAsia="宋体" w:hAnsi="宋体"/>
          <w:sz w:val="32"/>
          <w:szCs w:val="32"/>
          <w:color w:val="auto"/>
        </w:rPr>
        <w:t>（一）本资产评估报告依据财政部发布的资产评估基本准则和中国资产评估协会发布的资产评估执业准则和职业道德准则编制。</w:t>
      </w:r>
    </w:p>
    <w:p>
      <w:pPr>
        <w:spacing w:after="0" w:line="307" w:lineRule="exact"/>
        <w:rPr>
          <w:sz w:val="20"/>
          <w:szCs w:val="20"/>
          <w:color w:val="auto"/>
        </w:rPr>
      </w:pPr>
    </w:p>
    <w:p>
      <w:pPr>
        <w:jc w:val="both"/>
        <w:ind w:left="360" w:right="366" w:firstLine="641"/>
        <w:spacing w:after="0" w:line="562" w:lineRule="exact"/>
        <w:rPr>
          <w:sz w:val="20"/>
          <w:szCs w:val="20"/>
          <w:color w:val="auto"/>
        </w:rPr>
      </w:pPr>
      <w:r>
        <w:rPr>
          <w:rFonts w:ascii="宋体" w:cs="宋体" w:eastAsia="宋体" w:hAnsi="宋体"/>
          <w:sz w:val="32"/>
          <w:szCs w:val="32"/>
          <w:color w:val="auto"/>
        </w:rPr>
        <w:t>（二）委托人或者其他资产评估报告使用人应当按照法律、行政法规规定和资产评估报告载明的使用范围使用资产评估报告；委托人或者其他资产评估报告使用人违反前述规定使用资产评估报告的，资产评估机构及其资产评估师不承担责任。</w:t>
      </w:r>
    </w:p>
    <w:p>
      <w:pPr>
        <w:spacing w:after="0" w:line="315" w:lineRule="exact"/>
        <w:rPr>
          <w:sz w:val="20"/>
          <w:szCs w:val="20"/>
          <w:color w:val="auto"/>
        </w:rPr>
      </w:pPr>
    </w:p>
    <w:p>
      <w:pPr>
        <w:jc w:val="both"/>
        <w:ind w:left="360" w:right="366" w:firstLine="641"/>
        <w:spacing w:after="0" w:line="546" w:lineRule="exact"/>
        <w:rPr>
          <w:sz w:val="20"/>
          <w:szCs w:val="20"/>
          <w:color w:val="auto"/>
        </w:rPr>
      </w:pPr>
      <w:r>
        <w:rPr>
          <w:rFonts w:ascii="宋体" w:cs="宋体" w:eastAsia="宋体" w:hAnsi="宋体"/>
          <w:sz w:val="32"/>
          <w:szCs w:val="32"/>
          <w:color w:val="auto"/>
        </w:rPr>
        <w:t>（三）资产评估报告仅供委托人、评估委托合同中约定的其他资产评估报告使用人和法律、行政法规规定的资产评估报告使用人使用；除此之外，其他任何机构和个人不能成为资产评估报告的使用人。</w:t>
      </w:r>
    </w:p>
    <w:p>
      <w:pPr>
        <w:sectPr>
          <w:pgSz w:w="11900" w:h="16838" w:orient="portrait"/>
          <w:cols w:equalWidth="0" w:num="1">
            <w:col w:w="9026"/>
          </w:cols>
          <w:pgMar w:left="1440" w:top="1440" w:right="1440" w:bottom="952" w:gutter="0" w:footer="0" w:header="0"/>
        </w:sectPr>
      </w:pPr>
    </w:p>
    <w:bookmarkStart w:id="2" w:name="page3"/>
    <w:bookmarkEnd w:id="2"/>
    <w:p>
      <w:pPr>
        <w:spacing w:after="0" w:line="115" w:lineRule="exact"/>
        <w:rPr>
          <w:sz w:val="20"/>
          <w:szCs w:val="20"/>
          <w:color w:val="auto"/>
        </w:rPr>
      </w:pPr>
    </w:p>
    <w:p>
      <w:pPr>
        <w:ind w:left="1000"/>
        <w:spacing w:after="0" w:line="354" w:lineRule="exact"/>
        <w:rPr>
          <w:sz w:val="20"/>
          <w:szCs w:val="20"/>
          <w:color w:val="auto"/>
        </w:rPr>
      </w:pPr>
      <w:r>
        <w:rPr>
          <w:rFonts w:ascii="宋体" w:cs="宋体" w:eastAsia="宋体" w:hAnsi="宋体"/>
          <w:sz w:val="31"/>
          <w:szCs w:val="31"/>
          <w:color w:val="auto"/>
        </w:rPr>
        <w:t>（四）资产评估报告使用人应当正确理解评估结论，评</w:t>
      </w:r>
    </w:p>
    <w:p>
      <w:pPr>
        <w:spacing w:after="0" w:line="271" w:lineRule="exact"/>
        <w:rPr>
          <w:sz w:val="20"/>
          <w:szCs w:val="20"/>
          <w:color w:val="auto"/>
        </w:rPr>
      </w:pPr>
    </w:p>
    <w:p>
      <w:pPr>
        <w:ind w:left="360"/>
        <w:spacing w:after="0" w:line="354" w:lineRule="exact"/>
        <w:rPr>
          <w:sz w:val="20"/>
          <w:szCs w:val="20"/>
          <w:color w:val="auto"/>
        </w:rPr>
      </w:pPr>
      <w:r>
        <w:rPr>
          <w:rFonts w:ascii="宋体" w:cs="宋体" w:eastAsia="宋体" w:hAnsi="宋体"/>
          <w:sz w:val="31"/>
          <w:szCs w:val="31"/>
          <w:color w:val="auto"/>
        </w:rPr>
        <w:t>估结论不等同于评估对象可实现价格，评估结论不应当被认</w:t>
      </w:r>
    </w:p>
    <w:p>
      <w:pPr>
        <w:spacing w:after="0" w:line="259"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为是对评估对象可实现价格的保证。</w:t>
      </w:r>
    </w:p>
    <w:p>
      <w:pPr>
        <w:spacing w:after="0" w:line="270" w:lineRule="exact"/>
        <w:rPr>
          <w:sz w:val="20"/>
          <w:szCs w:val="20"/>
          <w:color w:val="auto"/>
        </w:rPr>
      </w:pPr>
    </w:p>
    <w:p>
      <w:pPr>
        <w:ind w:left="1000"/>
        <w:spacing w:after="0" w:line="354" w:lineRule="exact"/>
        <w:rPr>
          <w:sz w:val="20"/>
          <w:szCs w:val="20"/>
          <w:color w:val="auto"/>
        </w:rPr>
      </w:pPr>
      <w:r>
        <w:rPr>
          <w:rFonts w:ascii="宋体" w:cs="宋体" w:eastAsia="宋体" w:hAnsi="宋体"/>
          <w:sz w:val="31"/>
          <w:szCs w:val="31"/>
          <w:color w:val="auto"/>
        </w:rPr>
        <w:t>（五）资产评估机构及其资产评估师遵守法律、行政法</w:t>
      </w:r>
    </w:p>
    <w:p>
      <w:pPr>
        <w:spacing w:after="0" w:line="270" w:lineRule="exact"/>
        <w:rPr>
          <w:sz w:val="20"/>
          <w:szCs w:val="20"/>
          <w:color w:val="auto"/>
        </w:rPr>
      </w:pPr>
    </w:p>
    <w:p>
      <w:pPr>
        <w:ind w:left="360"/>
        <w:spacing w:after="0" w:line="354" w:lineRule="exact"/>
        <w:rPr>
          <w:sz w:val="20"/>
          <w:szCs w:val="20"/>
          <w:color w:val="auto"/>
        </w:rPr>
      </w:pPr>
      <w:r>
        <w:rPr>
          <w:rFonts w:ascii="宋体" w:cs="宋体" w:eastAsia="宋体" w:hAnsi="宋体"/>
          <w:sz w:val="31"/>
          <w:szCs w:val="31"/>
          <w:color w:val="auto"/>
        </w:rPr>
        <w:t>规和资产评估准则，坚持独立、客观和公正的原则，并对所</w:t>
      </w:r>
    </w:p>
    <w:p>
      <w:pPr>
        <w:spacing w:after="0" w:line="259"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出具的资产评估报告依法承担责任。</w:t>
      </w:r>
    </w:p>
    <w:p>
      <w:pPr>
        <w:spacing w:after="0" w:line="270" w:lineRule="exact"/>
        <w:rPr>
          <w:sz w:val="20"/>
          <w:szCs w:val="20"/>
          <w:color w:val="auto"/>
        </w:rPr>
      </w:pPr>
    </w:p>
    <w:p>
      <w:pPr>
        <w:ind w:left="1000"/>
        <w:spacing w:after="0" w:line="354" w:lineRule="exact"/>
        <w:rPr>
          <w:sz w:val="20"/>
          <w:szCs w:val="20"/>
          <w:color w:val="auto"/>
        </w:rPr>
      </w:pPr>
      <w:r>
        <w:rPr>
          <w:rFonts w:ascii="宋体" w:cs="宋体" w:eastAsia="宋体" w:hAnsi="宋体"/>
          <w:sz w:val="31"/>
          <w:szCs w:val="31"/>
          <w:color w:val="auto"/>
        </w:rPr>
        <w:t>（六）资产评估报告使用人应当关注评估结论成立的假</w:t>
      </w:r>
    </w:p>
    <w:p>
      <w:pPr>
        <w:spacing w:after="0" w:line="260"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设前提、资产评估报告特别事项说明和使用限制。</w:t>
      </w:r>
    </w:p>
    <w:p>
      <w:pPr>
        <w:spacing w:after="0" w:line="259" w:lineRule="exact"/>
        <w:rPr>
          <w:sz w:val="20"/>
          <w:szCs w:val="20"/>
          <w:color w:val="auto"/>
        </w:rPr>
      </w:pPr>
    </w:p>
    <w:p>
      <w:pPr>
        <w:ind w:left="1000"/>
        <w:spacing w:after="0" w:line="366" w:lineRule="exact"/>
        <w:rPr>
          <w:sz w:val="20"/>
          <w:szCs w:val="20"/>
          <w:color w:val="auto"/>
        </w:rPr>
      </w:pPr>
      <w:r>
        <w:rPr>
          <w:rFonts w:ascii="宋体" w:cs="宋体" w:eastAsia="宋体" w:hAnsi="宋体"/>
          <w:sz w:val="32"/>
          <w:szCs w:val="32"/>
          <w:color w:val="auto"/>
        </w:rPr>
        <w:t>（七）其他需要声明的内容。</w:t>
      </w:r>
    </w:p>
    <w:p>
      <w:pPr>
        <w:spacing w:after="0" w:line="259" w:lineRule="exact"/>
        <w:rPr>
          <w:sz w:val="20"/>
          <w:szCs w:val="20"/>
          <w:color w:val="auto"/>
        </w:rPr>
      </w:pPr>
    </w:p>
    <w:p>
      <w:pPr>
        <w:ind w:left="1000"/>
        <w:spacing w:after="0" w:line="366" w:lineRule="exact"/>
        <w:tabs>
          <w:tab w:leader="none" w:pos="2260" w:val="left"/>
        </w:tabs>
        <w:rPr>
          <w:sz w:val="20"/>
          <w:szCs w:val="20"/>
          <w:color w:val="auto"/>
        </w:rPr>
      </w:pPr>
      <w:r>
        <w:rPr>
          <w:rFonts w:ascii="宋体" w:cs="宋体" w:eastAsia="宋体" w:hAnsi="宋体"/>
          <w:sz w:val="32"/>
          <w:szCs w:val="32"/>
          <w:b w:val="1"/>
          <w:bCs w:val="1"/>
          <w:color w:val="auto"/>
        </w:rPr>
        <w:t>第十条</w:t>
      </w:r>
      <w:r>
        <w:rPr>
          <w:sz w:val="20"/>
          <w:szCs w:val="20"/>
          <w:color w:val="auto"/>
        </w:rPr>
        <w:tab/>
      </w:r>
      <w:r>
        <w:rPr>
          <w:rFonts w:ascii="宋体" w:cs="宋体" w:eastAsia="宋体" w:hAnsi="宋体"/>
          <w:sz w:val="32"/>
          <w:szCs w:val="32"/>
          <w:color w:val="auto"/>
        </w:rPr>
        <w:t>资产评估报告摘要应当简明扼要地反映经济</w:t>
      </w:r>
    </w:p>
    <w:p>
      <w:pPr>
        <w:spacing w:after="0" w:line="270" w:lineRule="exact"/>
        <w:rPr>
          <w:sz w:val="20"/>
          <w:szCs w:val="20"/>
          <w:color w:val="auto"/>
        </w:rPr>
      </w:pPr>
    </w:p>
    <w:p>
      <w:pPr>
        <w:jc w:val="center"/>
        <w:ind w:right="6"/>
        <w:spacing w:after="0" w:line="354" w:lineRule="exact"/>
        <w:rPr>
          <w:sz w:val="20"/>
          <w:szCs w:val="20"/>
          <w:color w:val="auto"/>
        </w:rPr>
      </w:pPr>
      <w:r>
        <w:rPr>
          <w:rFonts w:ascii="宋体" w:cs="宋体" w:eastAsia="宋体" w:hAnsi="宋体"/>
          <w:sz w:val="31"/>
          <w:szCs w:val="31"/>
          <w:color w:val="auto"/>
        </w:rPr>
        <w:t>行为、评估目的、评估对象和评估范围、价值类型、评估基</w:t>
      </w:r>
    </w:p>
    <w:p>
      <w:pPr>
        <w:spacing w:after="0" w:line="270" w:lineRule="exact"/>
        <w:rPr>
          <w:sz w:val="20"/>
          <w:szCs w:val="20"/>
          <w:color w:val="auto"/>
        </w:rPr>
      </w:pPr>
    </w:p>
    <w:p>
      <w:pPr>
        <w:ind w:left="360"/>
        <w:spacing w:after="0" w:line="354" w:lineRule="exact"/>
        <w:rPr>
          <w:sz w:val="20"/>
          <w:szCs w:val="20"/>
          <w:color w:val="auto"/>
        </w:rPr>
      </w:pPr>
      <w:r>
        <w:rPr>
          <w:rFonts w:ascii="宋体" w:cs="宋体" w:eastAsia="宋体" w:hAnsi="宋体"/>
          <w:sz w:val="31"/>
          <w:szCs w:val="31"/>
          <w:color w:val="auto"/>
        </w:rPr>
        <w:t>准日、评估方法、评估结论及使用有效期、对评估结论产生</w:t>
      </w:r>
    </w:p>
    <w:p>
      <w:pPr>
        <w:spacing w:after="0" w:line="259"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影响的特别事项等关键内容。</w:t>
      </w:r>
    </w:p>
    <w:p>
      <w:pPr>
        <w:spacing w:after="0" w:line="259" w:lineRule="exact"/>
        <w:rPr>
          <w:sz w:val="20"/>
          <w:szCs w:val="20"/>
          <w:color w:val="auto"/>
        </w:rPr>
      </w:pPr>
    </w:p>
    <w:p>
      <w:pPr>
        <w:ind w:left="1000"/>
        <w:spacing w:after="0" w:line="366" w:lineRule="exact"/>
        <w:rPr>
          <w:sz w:val="20"/>
          <w:szCs w:val="20"/>
          <w:color w:val="auto"/>
        </w:rPr>
      </w:pPr>
      <w:r>
        <w:rPr>
          <w:rFonts w:ascii="宋体" w:cs="宋体" w:eastAsia="宋体" w:hAnsi="宋体"/>
          <w:sz w:val="32"/>
          <w:szCs w:val="32"/>
          <w:color w:val="auto"/>
        </w:rPr>
        <w:t>资产评估报告摘要应当采用下述文字提醒资产评估报</w:t>
      </w:r>
    </w:p>
    <w:p>
      <w:pPr>
        <w:spacing w:after="0" w:line="236" w:lineRule="exact"/>
        <w:rPr>
          <w:sz w:val="20"/>
          <w:szCs w:val="20"/>
          <w:color w:val="auto"/>
        </w:rPr>
      </w:pPr>
    </w:p>
    <w:p>
      <w:pPr>
        <w:ind w:left="360"/>
        <w:spacing w:after="0" w:line="388" w:lineRule="exact"/>
        <w:rPr>
          <w:sz w:val="20"/>
          <w:szCs w:val="20"/>
          <w:color w:val="auto"/>
        </w:rPr>
      </w:pPr>
      <w:r>
        <w:rPr>
          <w:rFonts w:ascii="宋体" w:cs="宋体" w:eastAsia="宋体" w:hAnsi="宋体"/>
          <w:sz w:val="32"/>
          <w:szCs w:val="32"/>
          <w:color w:val="auto"/>
        </w:rPr>
        <w:t>告使用人阅读全文：</w:t>
      </w:r>
      <w:r>
        <w:rPr>
          <w:rFonts w:ascii="Arial" w:cs="Arial" w:eastAsia="Arial" w:hAnsi="Arial"/>
          <w:sz w:val="32"/>
          <w:szCs w:val="32"/>
          <w:color w:val="auto"/>
        </w:rPr>
        <w:t>“</w:t>
      </w:r>
      <w:r>
        <w:rPr>
          <w:rFonts w:ascii="宋体" w:cs="宋体" w:eastAsia="宋体" w:hAnsi="宋体"/>
          <w:sz w:val="32"/>
          <w:szCs w:val="32"/>
          <w:color w:val="auto"/>
        </w:rPr>
        <w:t>以上内容摘自资产评估报告正文，欲</w:t>
      </w:r>
    </w:p>
    <w:p>
      <w:pPr>
        <w:spacing w:after="0" w:line="270" w:lineRule="exact"/>
        <w:rPr>
          <w:sz w:val="20"/>
          <w:szCs w:val="20"/>
          <w:color w:val="auto"/>
        </w:rPr>
      </w:pPr>
    </w:p>
    <w:p>
      <w:pPr>
        <w:ind w:left="360"/>
        <w:spacing w:after="0" w:line="354" w:lineRule="exact"/>
        <w:rPr>
          <w:sz w:val="20"/>
          <w:szCs w:val="20"/>
          <w:color w:val="auto"/>
        </w:rPr>
      </w:pPr>
      <w:r>
        <w:rPr>
          <w:rFonts w:ascii="宋体" w:cs="宋体" w:eastAsia="宋体" w:hAnsi="宋体"/>
          <w:sz w:val="31"/>
          <w:szCs w:val="31"/>
          <w:color w:val="auto"/>
        </w:rPr>
        <w:t>了解本评估业务的详细情况和正确理解评估结论，应当阅读</w:t>
      </w:r>
    </w:p>
    <w:p>
      <w:pPr>
        <w:spacing w:after="0" w:line="236" w:lineRule="exact"/>
        <w:rPr>
          <w:sz w:val="20"/>
          <w:szCs w:val="20"/>
          <w:color w:val="auto"/>
        </w:rPr>
      </w:pPr>
    </w:p>
    <w:p>
      <w:pPr>
        <w:ind w:left="360"/>
        <w:spacing w:after="0" w:line="388" w:lineRule="exact"/>
        <w:rPr>
          <w:sz w:val="20"/>
          <w:szCs w:val="20"/>
          <w:color w:val="auto"/>
        </w:rPr>
      </w:pPr>
      <w:r>
        <w:rPr>
          <w:rFonts w:ascii="宋体" w:cs="宋体" w:eastAsia="宋体" w:hAnsi="宋体"/>
          <w:sz w:val="32"/>
          <w:szCs w:val="32"/>
          <w:color w:val="auto"/>
        </w:rPr>
        <w:t>资产评估报告正文。</w:t>
      </w:r>
      <w:r>
        <w:rPr>
          <w:rFonts w:ascii="Arial" w:cs="Arial" w:eastAsia="Arial" w:hAnsi="Arial"/>
          <w:sz w:val="32"/>
          <w:szCs w:val="32"/>
          <w:color w:val="auto"/>
        </w:rPr>
        <w:t>”</w:t>
      </w:r>
    </w:p>
    <w:p>
      <w:pPr>
        <w:spacing w:after="0" w:line="200" w:lineRule="exact"/>
        <w:rPr>
          <w:sz w:val="20"/>
          <w:szCs w:val="20"/>
          <w:color w:val="auto"/>
        </w:rPr>
      </w:pPr>
    </w:p>
    <w:p>
      <w:pPr>
        <w:spacing w:after="0" w:line="215" w:lineRule="exact"/>
        <w:rPr>
          <w:sz w:val="20"/>
          <w:szCs w:val="20"/>
          <w:color w:val="auto"/>
        </w:rPr>
      </w:pPr>
    </w:p>
    <w:p>
      <w:pPr>
        <w:jc w:val="center"/>
        <w:ind w:left="3200"/>
        <w:spacing w:after="0" w:line="366" w:lineRule="exact"/>
        <w:tabs>
          <w:tab w:leader="none" w:pos="300" w:val="left"/>
        </w:tabs>
        <w:rPr>
          <w:sz w:val="20"/>
          <w:szCs w:val="20"/>
          <w:color w:val="auto"/>
        </w:rPr>
      </w:pPr>
      <w:r>
        <w:rPr>
          <w:rFonts w:ascii="宋体" w:cs="宋体" w:eastAsia="宋体" w:hAnsi="宋体"/>
          <w:sz w:val="32"/>
          <w:szCs w:val="32"/>
          <w:color w:val="auto"/>
        </w:rPr>
        <w:t>第三章</w:t>
        <w:tab/>
        <w:t>正文</w:t>
      </w:r>
    </w:p>
    <w:p>
      <w:pPr>
        <w:spacing w:after="0" w:line="200" w:lineRule="exact"/>
        <w:rPr>
          <w:sz w:val="20"/>
          <w:szCs w:val="20"/>
          <w:color w:val="auto"/>
        </w:rPr>
      </w:pPr>
    </w:p>
    <w:p>
      <w:pPr>
        <w:spacing w:after="0" w:line="216" w:lineRule="exact"/>
        <w:rPr>
          <w:sz w:val="20"/>
          <w:szCs w:val="20"/>
          <w:color w:val="auto"/>
        </w:rPr>
      </w:pPr>
    </w:p>
    <w:p>
      <w:pPr>
        <w:ind w:left="1000"/>
        <w:spacing w:after="0" w:line="366" w:lineRule="exact"/>
        <w:tabs>
          <w:tab w:leader="none" w:pos="2580" w:val="left"/>
        </w:tabs>
        <w:rPr>
          <w:sz w:val="20"/>
          <w:szCs w:val="20"/>
          <w:color w:val="auto"/>
        </w:rPr>
      </w:pPr>
      <w:r>
        <w:rPr>
          <w:rFonts w:ascii="宋体" w:cs="宋体" w:eastAsia="宋体" w:hAnsi="宋体"/>
          <w:sz w:val="32"/>
          <w:szCs w:val="32"/>
          <w:b w:val="1"/>
          <w:bCs w:val="1"/>
          <w:color w:val="auto"/>
        </w:rPr>
        <w:t>第十一条</w:t>
      </w:r>
      <w:r>
        <w:rPr>
          <w:sz w:val="20"/>
          <w:szCs w:val="20"/>
          <w:color w:val="auto"/>
        </w:rPr>
        <w:tab/>
      </w:r>
      <w:r>
        <w:rPr>
          <w:rFonts w:ascii="宋体" w:cs="宋体" w:eastAsia="宋体" w:hAnsi="宋体"/>
          <w:sz w:val="32"/>
          <w:szCs w:val="32"/>
          <w:color w:val="auto"/>
        </w:rPr>
        <w:t>资产评估报告正文应当包括下列内容：</w:t>
      </w:r>
    </w:p>
    <w:p>
      <w:pPr>
        <w:spacing w:after="0" w:line="259" w:lineRule="exact"/>
        <w:rPr>
          <w:sz w:val="20"/>
          <w:szCs w:val="20"/>
          <w:color w:val="auto"/>
        </w:rPr>
      </w:pPr>
    </w:p>
    <w:p>
      <w:pPr>
        <w:ind w:left="1000"/>
        <w:spacing w:after="0" w:line="366" w:lineRule="exact"/>
        <w:rPr>
          <w:sz w:val="20"/>
          <w:szCs w:val="20"/>
          <w:color w:val="auto"/>
        </w:rPr>
      </w:pPr>
      <w:r>
        <w:rPr>
          <w:rFonts w:ascii="宋体" w:cs="宋体" w:eastAsia="宋体" w:hAnsi="宋体"/>
          <w:sz w:val="32"/>
          <w:szCs w:val="32"/>
          <w:color w:val="auto"/>
        </w:rPr>
        <w:t>（一）绪言；</w:t>
      </w:r>
    </w:p>
    <w:p>
      <w:pPr>
        <w:spacing w:after="0" w:line="270" w:lineRule="exact"/>
        <w:rPr>
          <w:sz w:val="20"/>
          <w:szCs w:val="20"/>
          <w:color w:val="auto"/>
        </w:rPr>
      </w:pPr>
    </w:p>
    <w:p>
      <w:pPr>
        <w:ind w:left="1000"/>
        <w:spacing w:after="0" w:line="354" w:lineRule="exact"/>
        <w:rPr>
          <w:sz w:val="20"/>
          <w:szCs w:val="20"/>
          <w:color w:val="auto"/>
        </w:rPr>
      </w:pPr>
      <w:r>
        <w:rPr>
          <w:rFonts w:ascii="宋体" w:cs="宋体" w:eastAsia="宋体" w:hAnsi="宋体"/>
          <w:sz w:val="31"/>
          <w:szCs w:val="31"/>
          <w:color w:val="auto"/>
        </w:rPr>
        <w:t>（二）委托人、被评估单位及资产评估委托合同约定的</w:t>
      </w:r>
    </w:p>
    <w:p>
      <w:pPr>
        <w:spacing w:after="0" w:line="259"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其他资产评估报告使用人概况；</w:t>
      </w:r>
    </w:p>
    <w:p>
      <w:pPr>
        <w:sectPr>
          <w:pgSz w:w="11900" w:h="16838" w:orient="portrait"/>
          <w:cols w:equalWidth="0" w:num="1">
            <w:col w:w="9026"/>
          </w:cols>
          <w:pgMar w:left="1440" w:top="1440" w:right="1440" w:bottom="947" w:gutter="0" w:footer="0" w:header="0"/>
        </w:sectPr>
      </w:pPr>
    </w:p>
    <w:bookmarkStart w:id="3" w:name="page4"/>
    <w:bookmarkEnd w:id="3"/>
    <w:p>
      <w:pPr>
        <w:spacing w:after="0" w:line="104" w:lineRule="exact"/>
        <w:rPr>
          <w:sz w:val="20"/>
          <w:szCs w:val="20"/>
          <w:color w:val="auto"/>
        </w:rPr>
      </w:pPr>
    </w:p>
    <w:p>
      <w:pPr>
        <w:ind w:left="1000"/>
        <w:spacing w:after="0" w:line="366" w:lineRule="exact"/>
        <w:rPr>
          <w:sz w:val="20"/>
          <w:szCs w:val="20"/>
          <w:color w:val="auto"/>
        </w:rPr>
      </w:pPr>
      <w:r>
        <w:rPr>
          <w:rFonts w:ascii="宋体" w:cs="宋体" w:eastAsia="宋体" w:hAnsi="宋体"/>
          <w:sz w:val="32"/>
          <w:szCs w:val="32"/>
          <w:color w:val="auto"/>
        </w:rPr>
        <w:t>（三）评估目的；</w:t>
      </w:r>
    </w:p>
    <w:p>
      <w:pPr>
        <w:spacing w:after="0" w:line="259" w:lineRule="exact"/>
        <w:rPr>
          <w:sz w:val="20"/>
          <w:szCs w:val="20"/>
          <w:color w:val="auto"/>
        </w:rPr>
      </w:pPr>
    </w:p>
    <w:p>
      <w:pPr>
        <w:ind w:left="1000"/>
        <w:spacing w:after="0" w:line="366" w:lineRule="exact"/>
        <w:rPr>
          <w:sz w:val="20"/>
          <w:szCs w:val="20"/>
          <w:color w:val="auto"/>
        </w:rPr>
      </w:pPr>
      <w:r>
        <w:rPr>
          <w:rFonts w:ascii="宋体" w:cs="宋体" w:eastAsia="宋体" w:hAnsi="宋体"/>
          <w:sz w:val="32"/>
          <w:szCs w:val="32"/>
          <w:color w:val="auto"/>
        </w:rPr>
        <w:t>（四）评估对象和评估范围；</w:t>
      </w:r>
    </w:p>
    <w:p>
      <w:pPr>
        <w:spacing w:after="0" w:line="259" w:lineRule="exact"/>
        <w:rPr>
          <w:sz w:val="20"/>
          <w:szCs w:val="20"/>
          <w:color w:val="auto"/>
        </w:rPr>
      </w:pPr>
    </w:p>
    <w:p>
      <w:pPr>
        <w:ind w:left="1000"/>
        <w:spacing w:after="0" w:line="366" w:lineRule="exact"/>
        <w:rPr>
          <w:sz w:val="20"/>
          <w:szCs w:val="20"/>
          <w:color w:val="auto"/>
        </w:rPr>
      </w:pPr>
      <w:r>
        <w:rPr>
          <w:rFonts w:ascii="宋体" w:cs="宋体" w:eastAsia="宋体" w:hAnsi="宋体"/>
          <w:sz w:val="32"/>
          <w:szCs w:val="32"/>
          <w:color w:val="auto"/>
        </w:rPr>
        <w:t>（五）价值类型；</w:t>
      </w:r>
    </w:p>
    <w:p>
      <w:pPr>
        <w:spacing w:after="0" w:line="259" w:lineRule="exact"/>
        <w:rPr>
          <w:sz w:val="20"/>
          <w:szCs w:val="20"/>
          <w:color w:val="auto"/>
        </w:rPr>
      </w:pPr>
    </w:p>
    <w:p>
      <w:pPr>
        <w:ind w:left="1000"/>
        <w:spacing w:after="0" w:line="366" w:lineRule="exact"/>
        <w:rPr>
          <w:sz w:val="20"/>
          <w:szCs w:val="20"/>
          <w:color w:val="auto"/>
        </w:rPr>
      </w:pPr>
      <w:r>
        <w:rPr>
          <w:rFonts w:ascii="宋体" w:cs="宋体" w:eastAsia="宋体" w:hAnsi="宋体"/>
          <w:sz w:val="32"/>
          <w:szCs w:val="32"/>
          <w:color w:val="auto"/>
        </w:rPr>
        <w:t>（六）评估基准日；</w:t>
      </w:r>
    </w:p>
    <w:p>
      <w:pPr>
        <w:spacing w:after="0" w:line="259" w:lineRule="exact"/>
        <w:rPr>
          <w:sz w:val="20"/>
          <w:szCs w:val="20"/>
          <w:color w:val="auto"/>
        </w:rPr>
      </w:pPr>
    </w:p>
    <w:p>
      <w:pPr>
        <w:ind w:left="1000"/>
        <w:spacing w:after="0" w:line="366" w:lineRule="exact"/>
        <w:rPr>
          <w:sz w:val="20"/>
          <w:szCs w:val="20"/>
          <w:color w:val="auto"/>
        </w:rPr>
      </w:pPr>
      <w:r>
        <w:rPr>
          <w:rFonts w:ascii="宋体" w:cs="宋体" w:eastAsia="宋体" w:hAnsi="宋体"/>
          <w:sz w:val="32"/>
          <w:szCs w:val="32"/>
          <w:color w:val="auto"/>
        </w:rPr>
        <w:t>（七）评估依据；</w:t>
      </w:r>
    </w:p>
    <w:p>
      <w:pPr>
        <w:spacing w:after="0" w:line="259" w:lineRule="exact"/>
        <w:rPr>
          <w:sz w:val="20"/>
          <w:szCs w:val="20"/>
          <w:color w:val="auto"/>
        </w:rPr>
      </w:pPr>
    </w:p>
    <w:p>
      <w:pPr>
        <w:ind w:left="1000"/>
        <w:spacing w:after="0" w:line="366" w:lineRule="exact"/>
        <w:rPr>
          <w:sz w:val="20"/>
          <w:szCs w:val="20"/>
          <w:color w:val="auto"/>
        </w:rPr>
      </w:pPr>
      <w:r>
        <w:rPr>
          <w:rFonts w:ascii="宋体" w:cs="宋体" w:eastAsia="宋体" w:hAnsi="宋体"/>
          <w:sz w:val="32"/>
          <w:szCs w:val="32"/>
          <w:color w:val="auto"/>
        </w:rPr>
        <w:t>（八）评估方法；</w:t>
      </w:r>
    </w:p>
    <w:p>
      <w:pPr>
        <w:spacing w:after="0" w:line="259" w:lineRule="exact"/>
        <w:rPr>
          <w:sz w:val="20"/>
          <w:szCs w:val="20"/>
          <w:color w:val="auto"/>
        </w:rPr>
      </w:pPr>
    </w:p>
    <w:p>
      <w:pPr>
        <w:ind w:left="1000"/>
        <w:spacing w:after="0" w:line="366" w:lineRule="exact"/>
        <w:rPr>
          <w:sz w:val="20"/>
          <w:szCs w:val="20"/>
          <w:color w:val="auto"/>
        </w:rPr>
      </w:pPr>
      <w:r>
        <w:rPr>
          <w:rFonts w:ascii="宋体" w:cs="宋体" w:eastAsia="宋体" w:hAnsi="宋体"/>
          <w:sz w:val="32"/>
          <w:szCs w:val="32"/>
          <w:color w:val="auto"/>
        </w:rPr>
        <w:t>（九）评估程序实施过程和情况；</w:t>
      </w:r>
    </w:p>
    <w:p>
      <w:pPr>
        <w:spacing w:after="0" w:line="260" w:lineRule="exact"/>
        <w:rPr>
          <w:sz w:val="20"/>
          <w:szCs w:val="20"/>
          <w:color w:val="auto"/>
        </w:rPr>
      </w:pPr>
    </w:p>
    <w:p>
      <w:pPr>
        <w:ind w:left="1000"/>
        <w:spacing w:after="0" w:line="366" w:lineRule="exact"/>
        <w:rPr>
          <w:sz w:val="20"/>
          <w:szCs w:val="20"/>
          <w:color w:val="auto"/>
        </w:rPr>
      </w:pPr>
      <w:r>
        <w:rPr>
          <w:rFonts w:ascii="宋体" w:cs="宋体" w:eastAsia="宋体" w:hAnsi="宋体"/>
          <w:sz w:val="32"/>
          <w:szCs w:val="32"/>
          <w:color w:val="auto"/>
        </w:rPr>
        <w:t>（十）评估假设；</w:t>
      </w:r>
    </w:p>
    <w:p>
      <w:pPr>
        <w:spacing w:after="0" w:line="259" w:lineRule="exact"/>
        <w:rPr>
          <w:sz w:val="20"/>
          <w:szCs w:val="20"/>
          <w:color w:val="auto"/>
        </w:rPr>
      </w:pPr>
    </w:p>
    <w:p>
      <w:pPr>
        <w:ind w:left="1000"/>
        <w:spacing w:after="0" w:line="366" w:lineRule="exact"/>
        <w:rPr>
          <w:sz w:val="20"/>
          <w:szCs w:val="20"/>
          <w:color w:val="auto"/>
        </w:rPr>
      </w:pPr>
      <w:r>
        <w:rPr>
          <w:rFonts w:ascii="宋体" w:cs="宋体" w:eastAsia="宋体" w:hAnsi="宋体"/>
          <w:sz w:val="32"/>
          <w:szCs w:val="32"/>
          <w:color w:val="auto"/>
        </w:rPr>
        <w:t>（十一）评估结论；</w:t>
      </w:r>
    </w:p>
    <w:p>
      <w:pPr>
        <w:spacing w:after="0" w:line="259" w:lineRule="exact"/>
        <w:rPr>
          <w:sz w:val="20"/>
          <w:szCs w:val="20"/>
          <w:color w:val="auto"/>
        </w:rPr>
      </w:pPr>
    </w:p>
    <w:p>
      <w:pPr>
        <w:ind w:left="1000"/>
        <w:spacing w:after="0" w:line="366" w:lineRule="exact"/>
        <w:rPr>
          <w:sz w:val="20"/>
          <w:szCs w:val="20"/>
          <w:color w:val="auto"/>
        </w:rPr>
      </w:pPr>
      <w:r>
        <w:rPr>
          <w:rFonts w:ascii="宋体" w:cs="宋体" w:eastAsia="宋体" w:hAnsi="宋体"/>
          <w:sz w:val="32"/>
          <w:szCs w:val="32"/>
          <w:color w:val="auto"/>
        </w:rPr>
        <w:t>（十二）特别事项说明；</w:t>
      </w:r>
    </w:p>
    <w:p>
      <w:pPr>
        <w:spacing w:after="0" w:line="259" w:lineRule="exact"/>
        <w:rPr>
          <w:sz w:val="20"/>
          <w:szCs w:val="20"/>
          <w:color w:val="auto"/>
        </w:rPr>
      </w:pPr>
    </w:p>
    <w:p>
      <w:pPr>
        <w:ind w:left="1000"/>
        <w:spacing w:after="0" w:line="366" w:lineRule="exact"/>
        <w:rPr>
          <w:sz w:val="20"/>
          <w:szCs w:val="20"/>
          <w:color w:val="auto"/>
        </w:rPr>
      </w:pPr>
      <w:r>
        <w:rPr>
          <w:rFonts w:ascii="宋体" w:cs="宋体" w:eastAsia="宋体" w:hAnsi="宋体"/>
          <w:sz w:val="32"/>
          <w:szCs w:val="32"/>
          <w:color w:val="auto"/>
        </w:rPr>
        <w:t>（十三）资产评估报告使用限制说明；</w:t>
      </w:r>
    </w:p>
    <w:p>
      <w:pPr>
        <w:spacing w:after="0" w:line="259" w:lineRule="exact"/>
        <w:rPr>
          <w:sz w:val="20"/>
          <w:szCs w:val="20"/>
          <w:color w:val="auto"/>
        </w:rPr>
      </w:pPr>
    </w:p>
    <w:p>
      <w:pPr>
        <w:ind w:left="1000"/>
        <w:spacing w:after="0" w:line="366" w:lineRule="exact"/>
        <w:rPr>
          <w:sz w:val="20"/>
          <w:szCs w:val="20"/>
          <w:color w:val="auto"/>
        </w:rPr>
      </w:pPr>
      <w:r>
        <w:rPr>
          <w:rFonts w:ascii="宋体" w:cs="宋体" w:eastAsia="宋体" w:hAnsi="宋体"/>
          <w:sz w:val="32"/>
          <w:szCs w:val="32"/>
          <w:color w:val="auto"/>
        </w:rPr>
        <w:t>（十四）资产评估报告日；</w:t>
      </w:r>
    </w:p>
    <w:p>
      <w:pPr>
        <w:spacing w:after="0" w:line="259" w:lineRule="exact"/>
        <w:rPr>
          <w:sz w:val="20"/>
          <w:szCs w:val="20"/>
          <w:color w:val="auto"/>
        </w:rPr>
      </w:pPr>
    </w:p>
    <w:p>
      <w:pPr>
        <w:ind w:left="1000"/>
        <w:spacing w:after="0" w:line="366" w:lineRule="exact"/>
        <w:rPr>
          <w:sz w:val="20"/>
          <w:szCs w:val="20"/>
          <w:color w:val="auto"/>
        </w:rPr>
      </w:pPr>
      <w:r>
        <w:rPr>
          <w:rFonts w:ascii="宋体" w:cs="宋体" w:eastAsia="宋体" w:hAnsi="宋体"/>
          <w:sz w:val="32"/>
          <w:szCs w:val="32"/>
          <w:color w:val="auto"/>
        </w:rPr>
        <w:t>（十五）签名盖章。</w:t>
      </w:r>
    </w:p>
    <w:p>
      <w:pPr>
        <w:spacing w:after="0" w:line="259" w:lineRule="exact"/>
        <w:rPr>
          <w:sz w:val="20"/>
          <w:szCs w:val="20"/>
          <w:color w:val="auto"/>
        </w:rPr>
      </w:pPr>
    </w:p>
    <w:p>
      <w:pPr>
        <w:ind w:left="1000"/>
        <w:spacing w:after="0" w:line="366" w:lineRule="exact"/>
        <w:tabs>
          <w:tab w:leader="none" w:pos="2580" w:val="left"/>
        </w:tabs>
        <w:rPr>
          <w:sz w:val="20"/>
          <w:szCs w:val="20"/>
          <w:color w:val="auto"/>
        </w:rPr>
      </w:pPr>
      <w:r>
        <w:rPr>
          <w:rFonts w:ascii="宋体" w:cs="宋体" w:eastAsia="宋体" w:hAnsi="宋体"/>
          <w:sz w:val="32"/>
          <w:szCs w:val="32"/>
          <w:b w:val="1"/>
          <w:bCs w:val="1"/>
          <w:color w:val="auto"/>
        </w:rPr>
        <w:t>第十二条</w:t>
      </w:r>
      <w:r>
        <w:rPr>
          <w:sz w:val="20"/>
          <w:szCs w:val="20"/>
          <w:color w:val="auto"/>
        </w:rPr>
        <w:tab/>
      </w:r>
      <w:r>
        <w:rPr>
          <w:rFonts w:ascii="宋体" w:cs="宋体" w:eastAsia="宋体" w:hAnsi="宋体"/>
          <w:sz w:val="32"/>
          <w:szCs w:val="32"/>
          <w:color w:val="auto"/>
        </w:rPr>
        <w:t>绪言一般采用包含下列内容的表述格式：</w:t>
      </w:r>
    </w:p>
    <w:p>
      <w:pPr>
        <w:spacing w:after="0" w:line="236" w:lineRule="exact"/>
        <w:rPr>
          <w:sz w:val="20"/>
          <w:szCs w:val="20"/>
          <w:color w:val="auto"/>
        </w:rPr>
      </w:pPr>
    </w:p>
    <w:p>
      <w:pPr>
        <w:ind w:left="1000"/>
        <w:spacing w:after="0" w:line="388" w:lineRule="exact"/>
        <w:rPr>
          <w:sz w:val="20"/>
          <w:szCs w:val="20"/>
          <w:color w:val="auto"/>
        </w:rPr>
      </w:pPr>
      <w:r>
        <w:rPr>
          <w:rFonts w:ascii="Arial" w:cs="Arial" w:eastAsia="Arial" w:hAnsi="Arial"/>
          <w:sz w:val="32"/>
          <w:szCs w:val="32"/>
          <w:color w:val="auto"/>
        </w:rPr>
        <w:t>“×××</w:t>
      </w:r>
      <w:r>
        <w:rPr>
          <w:rFonts w:ascii="宋体" w:cs="宋体" w:eastAsia="宋体" w:hAnsi="宋体"/>
          <w:sz w:val="32"/>
          <w:szCs w:val="32"/>
          <w:color w:val="auto"/>
        </w:rPr>
        <w:t>（委托人全称）：</w:t>
      </w:r>
    </w:p>
    <w:p>
      <w:pPr>
        <w:spacing w:after="0" w:line="236" w:lineRule="exact"/>
        <w:rPr>
          <w:sz w:val="20"/>
          <w:szCs w:val="20"/>
          <w:color w:val="auto"/>
        </w:rPr>
      </w:pPr>
    </w:p>
    <w:p>
      <w:pPr>
        <w:ind w:left="1000"/>
        <w:spacing w:after="0" w:line="388" w:lineRule="exact"/>
        <w:rPr>
          <w:sz w:val="20"/>
          <w:szCs w:val="20"/>
          <w:color w:val="auto"/>
        </w:rPr>
      </w:pPr>
      <w:r>
        <w:rPr>
          <w:rFonts w:ascii="Arial" w:cs="Arial" w:eastAsia="Arial" w:hAnsi="Arial"/>
          <w:sz w:val="32"/>
          <w:szCs w:val="32"/>
          <w:color w:val="auto"/>
        </w:rPr>
        <w:t>×××</w:t>
      </w:r>
      <w:r>
        <w:rPr>
          <w:rFonts w:ascii="宋体" w:cs="宋体" w:eastAsia="宋体" w:hAnsi="宋体"/>
          <w:sz w:val="32"/>
          <w:szCs w:val="32"/>
          <w:color w:val="auto"/>
        </w:rPr>
        <w:t>（资产评估机构全称）接受贵单位（公司）的委</w:t>
      </w:r>
    </w:p>
    <w:p>
      <w:pPr>
        <w:spacing w:after="0" w:line="282" w:lineRule="exact"/>
        <w:rPr>
          <w:sz w:val="20"/>
          <w:szCs w:val="20"/>
          <w:color w:val="auto"/>
        </w:rPr>
      </w:pPr>
    </w:p>
    <w:p>
      <w:pPr>
        <w:jc w:val="center"/>
        <w:ind w:right="6"/>
        <w:spacing w:after="0" w:line="343" w:lineRule="exact"/>
        <w:rPr>
          <w:sz w:val="20"/>
          <w:szCs w:val="20"/>
          <w:color w:val="auto"/>
        </w:rPr>
      </w:pPr>
      <w:r>
        <w:rPr>
          <w:rFonts w:ascii="宋体" w:cs="宋体" w:eastAsia="宋体" w:hAnsi="宋体"/>
          <w:sz w:val="30"/>
          <w:szCs w:val="30"/>
          <w:color w:val="auto"/>
        </w:rPr>
        <w:t>托，按照法律、行政法规和资产评估准则的规定，坚持独立、</w:t>
      </w:r>
    </w:p>
    <w:p>
      <w:pPr>
        <w:spacing w:after="0" w:line="236" w:lineRule="exact"/>
        <w:rPr>
          <w:sz w:val="20"/>
          <w:szCs w:val="20"/>
          <w:color w:val="auto"/>
        </w:rPr>
      </w:pPr>
    </w:p>
    <w:p>
      <w:pPr>
        <w:jc w:val="center"/>
        <w:ind w:right="6"/>
        <w:spacing w:after="0" w:line="388" w:lineRule="exact"/>
        <w:rPr>
          <w:sz w:val="20"/>
          <w:szCs w:val="20"/>
          <w:color w:val="auto"/>
        </w:rPr>
      </w:pPr>
      <w:r>
        <w:rPr>
          <w:rFonts w:ascii="宋体" w:cs="宋体" w:eastAsia="宋体" w:hAnsi="宋体"/>
          <w:sz w:val="32"/>
          <w:szCs w:val="32"/>
          <w:color w:val="auto"/>
        </w:rPr>
        <w:t>客观、公正的原则，采用</w:t>
      </w:r>
      <w:r>
        <w:rPr>
          <w:rFonts w:ascii="Arial" w:cs="Arial" w:eastAsia="Arial" w:hAnsi="Arial"/>
          <w:sz w:val="32"/>
          <w:szCs w:val="32"/>
          <w:color w:val="auto"/>
        </w:rPr>
        <w:t>×××</w:t>
      </w:r>
      <w:r>
        <w:rPr>
          <w:rFonts w:ascii="宋体" w:cs="宋体" w:eastAsia="宋体" w:hAnsi="宋体"/>
          <w:sz w:val="32"/>
          <w:szCs w:val="32"/>
          <w:color w:val="auto"/>
        </w:rPr>
        <w:t>评估方法（评估方法名称），</w:t>
      </w:r>
    </w:p>
    <w:p>
      <w:pPr>
        <w:spacing w:after="0" w:line="236" w:lineRule="exact"/>
        <w:rPr>
          <w:sz w:val="20"/>
          <w:szCs w:val="20"/>
          <w:color w:val="auto"/>
        </w:rPr>
      </w:pPr>
    </w:p>
    <w:p>
      <w:pPr>
        <w:jc w:val="center"/>
        <w:ind w:right="6"/>
        <w:spacing w:after="0" w:line="388" w:lineRule="exact"/>
        <w:rPr>
          <w:sz w:val="20"/>
          <w:szCs w:val="20"/>
          <w:color w:val="auto"/>
        </w:rPr>
      </w:pPr>
      <w:r>
        <w:rPr>
          <w:rFonts w:ascii="宋体" w:cs="宋体" w:eastAsia="宋体" w:hAnsi="宋体"/>
          <w:sz w:val="32"/>
          <w:szCs w:val="32"/>
          <w:color w:val="auto"/>
        </w:rPr>
        <w:t>按照必要的评估程序，对</w:t>
      </w:r>
      <w:r>
        <w:rPr>
          <w:rFonts w:ascii="Arial" w:cs="Arial" w:eastAsia="Arial" w:hAnsi="Arial"/>
          <w:sz w:val="32"/>
          <w:szCs w:val="32"/>
          <w:color w:val="auto"/>
        </w:rPr>
        <w:t>×××</w:t>
      </w:r>
      <w:r>
        <w:rPr>
          <w:rFonts w:ascii="宋体" w:cs="宋体" w:eastAsia="宋体" w:hAnsi="宋体"/>
          <w:sz w:val="32"/>
          <w:szCs w:val="32"/>
          <w:color w:val="auto"/>
        </w:rPr>
        <w:t>（委托人全称）拟实施</w:t>
      </w:r>
      <w:r>
        <w:rPr>
          <w:rFonts w:ascii="Arial" w:cs="Arial" w:eastAsia="Arial" w:hAnsi="Arial"/>
          <w:sz w:val="32"/>
          <w:szCs w:val="32"/>
          <w:color w:val="auto"/>
        </w:rPr>
        <w:t>××</w:t>
      </w:r>
    </w:p>
    <w:p>
      <w:pPr>
        <w:spacing w:after="0" w:line="237" w:lineRule="exact"/>
        <w:rPr>
          <w:sz w:val="20"/>
          <w:szCs w:val="20"/>
          <w:color w:val="auto"/>
        </w:rPr>
      </w:pPr>
    </w:p>
    <w:p>
      <w:pPr>
        <w:jc w:val="center"/>
        <w:ind w:right="6"/>
        <w:spacing w:after="0" w:line="388" w:lineRule="exact"/>
        <w:rPr>
          <w:sz w:val="20"/>
          <w:szCs w:val="20"/>
          <w:color w:val="auto"/>
        </w:rPr>
      </w:pPr>
      <w:r>
        <w:rPr>
          <w:rFonts w:ascii="Arial" w:cs="Arial" w:eastAsia="Arial" w:hAnsi="Arial"/>
          <w:sz w:val="32"/>
          <w:szCs w:val="32"/>
          <w:color w:val="auto"/>
        </w:rPr>
        <w:t>×</w:t>
      </w:r>
      <w:r>
        <w:rPr>
          <w:rFonts w:ascii="宋体" w:cs="宋体" w:eastAsia="宋体" w:hAnsi="宋体"/>
          <w:sz w:val="32"/>
          <w:szCs w:val="32"/>
          <w:color w:val="auto"/>
        </w:rPr>
        <w:t>行为（事宜）涉及的</w:t>
      </w:r>
      <w:r>
        <w:rPr>
          <w:rFonts w:ascii="Arial" w:cs="Arial" w:eastAsia="Arial" w:hAnsi="Arial"/>
          <w:sz w:val="32"/>
          <w:szCs w:val="32"/>
          <w:color w:val="auto"/>
        </w:rPr>
        <w:t>×××</w:t>
      </w:r>
      <w:r>
        <w:rPr>
          <w:rFonts w:ascii="宋体" w:cs="宋体" w:eastAsia="宋体" w:hAnsi="宋体"/>
          <w:sz w:val="32"/>
          <w:szCs w:val="32"/>
          <w:color w:val="auto"/>
        </w:rPr>
        <w:t>（资产</w:t>
      </w:r>
      <w:r>
        <w:rPr>
          <w:rFonts w:ascii="Arial" w:cs="Arial" w:eastAsia="Arial" w:hAnsi="Arial"/>
          <w:sz w:val="32"/>
          <w:szCs w:val="32"/>
          <w:color w:val="auto"/>
        </w:rPr>
        <w:t>——</w:t>
      </w:r>
      <w:r>
        <w:rPr>
          <w:rFonts w:ascii="宋体" w:cs="宋体" w:eastAsia="宋体" w:hAnsi="宋体"/>
          <w:sz w:val="32"/>
          <w:szCs w:val="32"/>
          <w:color w:val="auto"/>
        </w:rPr>
        <w:t>单项资产或者资产</w:t>
      </w:r>
    </w:p>
    <w:p>
      <w:pPr>
        <w:spacing w:after="0" w:line="236" w:lineRule="exact"/>
        <w:rPr>
          <w:sz w:val="20"/>
          <w:szCs w:val="20"/>
          <w:color w:val="auto"/>
        </w:rPr>
      </w:pPr>
    </w:p>
    <w:p>
      <w:pPr>
        <w:ind w:left="360"/>
        <w:spacing w:after="0" w:line="388" w:lineRule="exact"/>
        <w:rPr>
          <w:sz w:val="20"/>
          <w:szCs w:val="20"/>
          <w:color w:val="auto"/>
        </w:rPr>
      </w:pPr>
      <w:r>
        <w:rPr>
          <w:rFonts w:ascii="宋体" w:cs="宋体" w:eastAsia="宋体" w:hAnsi="宋体"/>
          <w:sz w:val="32"/>
          <w:szCs w:val="32"/>
          <w:color w:val="auto"/>
        </w:rPr>
        <w:t>组合、企业整体价值、股东全部权益、股东部分权益）在</w:t>
      </w:r>
      <w:r>
        <w:rPr>
          <w:rFonts w:ascii="Arial" w:cs="Arial" w:eastAsia="Arial" w:hAnsi="Arial"/>
          <w:sz w:val="32"/>
          <w:szCs w:val="32"/>
          <w:color w:val="auto"/>
        </w:rPr>
        <w:t>×</w:t>
      </w:r>
    </w:p>
    <w:p>
      <w:pPr>
        <w:spacing w:after="0" w:line="236" w:lineRule="exact"/>
        <w:rPr>
          <w:sz w:val="20"/>
          <w:szCs w:val="20"/>
          <w:color w:val="auto"/>
        </w:rPr>
      </w:pPr>
    </w:p>
    <w:p>
      <w:pPr>
        <w:ind w:left="360"/>
        <w:spacing w:after="0" w:line="388" w:lineRule="exact"/>
        <w:rPr>
          <w:sz w:val="20"/>
          <w:szCs w:val="20"/>
          <w:color w:val="auto"/>
        </w:rPr>
      </w:pPr>
      <w:r>
        <w:rPr>
          <w:rFonts w:ascii="Arial" w:cs="Arial" w:eastAsia="Arial" w:hAnsi="Arial"/>
          <w:sz w:val="32"/>
          <w:szCs w:val="32"/>
          <w:color w:val="auto"/>
        </w:rPr>
        <w:t>×××</w:t>
      </w:r>
      <w:r>
        <w:rPr>
          <w:rFonts w:ascii="宋体" w:cs="宋体" w:eastAsia="宋体" w:hAnsi="宋体"/>
          <w:sz w:val="32"/>
          <w:szCs w:val="32"/>
          <w:color w:val="auto"/>
        </w:rPr>
        <w:t>年</w:t>
      </w:r>
      <w:r>
        <w:rPr>
          <w:rFonts w:ascii="Arial" w:cs="Arial" w:eastAsia="Arial" w:hAnsi="Arial"/>
          <w:sz w:val="32"/>
          <w:szCs w:val="32"/>
          <w:color w:val="auto"/>
        </w:rPr>
        <w:t>××</w:t>
      </w:r>
      <w:r>
        <w:rPr>
          <w:rFonts w:ascii="宋体" w:cs="宋体" w:eastAsia="宋体" w:hAnsi="宋体"/>
          <w:sz w:val="32"/>
          <w:szCs w:val="32"/>
          <w:color w:val="auto"/>
        </w:rPr>
        <w:t>月</w:t>
      </w:r>
      <w:r>
        <w:rPr>
          <w:rFonts w:ascii="Arial" w:cs="Arial" w:eastAsia="Arial" w:hAnsi="Arial"/>
          <w:sz w:val="32"/>
          <w:szCs w:val="32"/>
          <w:color w:val="auto"/>
        </w:rPr>
        <w:t>××</w:t>
      </w:r>
      <w:r>
        <w:rPr>
          <w:rFonts w:ascii="宋体" w:cs="宋体" w:eastAsia="宋体" w:hAnsi="宋体"/>
          <w:sz w:val="32"/>
          <w:szCs w:val="32"/>
          <w:color w:val="auto"/>
        </w:rPr>
        <w:t>日的</w:t>
      </w:r>
      <w:r>
        <w:rPr>
          <w:rFonts w:ascii="Arial" w:cs="Arial" w:eastAsia="Arial" w:hAnsi="Arial"/>
          <w:sz w:val="32"/>
          <w:szCs w:val="32"/>
          <w:color w:val="auto"/>
        </w:rPr>
        <w:t>××</w:t>
      </w:r>
      <w:r>
        <w:rPr>
          <w:rFonts w:ascii="宋体" w:cs="宋体" w:eastAsia="宋体" w:hAnsi="宋体"/>
          <w:sz w:val="32"/>
          <w:szCs w:val="32"/>
          <w:color w:val="auto"/>
        </w:rPr>
        <w:t>价值（价值类型）进行了评估。</w:t>
      </w:r>
    </w:p>
    <w:p>
      <w:pPr>
        <w:sectPr>
          <w:pgSz w:w="11900" w:h="16838" w:orient="portrait"/>
          <w:cols w:equalWidth="0" w:num="1">
            <w:col w:w="9026"/>
          </w:cols>
          <w:pgMar w:left="1440" w:top="1440" w:right="1440" w:bottom="1440" w:gutter="0" w:footer="0" w:header="0"/>
        </w:sectPr>
      </w:pPr>
    </w:p>
    <w:bookmarkStart w:id="4" w:name="page5"/>
    <w:bookmarkEnd w:id="4"/>
    <w:p>
      <w:pPr>
        <w:spacing w:after="0" w:line="81" w:lineRule="exact"/>
        <w:rPr>
          <w:sz w:val="20"/>
          <w:szCs w:val="20"/>
          <w:color w:val="auto"/>
        </w:rPr>
      </w:pPr>
    </w:p>
    <w:p>
      <w:pPr>
        <w:ind w:left="360"/>
        <w:spacing w:after="0" w:line="388" w:lineRule="exact"/>
        <w:rPr>
          <w:sz w:val="20"/>
          <w:szCs w:val="20"/>
          <w:color w:val="auto"/>
        </w:rPr>
      </w:pPr>
      <w:r>
        <w:rPr>
          <w:rFonts w:ascii="宋体" w:cs="宋体" w:eastAsia="宋体" w:hAnsi="宋体"/>
          <w:sz w:val="32"/>
          <w:szCs w:val="32"/>
          <w:color w:val="auto"/>
        </w:rPr>
        <w:t>现将评估情况报告如下。</w:t>
      </w:r>
      <w:r>
        <w:rPr>
          <w:rFonts w:ascii="Arial" w:cs="Arial" w:eastAsia="Arial" w:hAnsi="Arial"/>
          <w:sz w:val="32"/>
          <w:szCs w:val="32"/>
          <w:color w:val="auto"/>
        </w:rPr>
        <w:t>”</w:t>
      </w:r>
    </w:p>
    <w:p>
      <w:pPr>
        <w:spacing w:after="0" w:line="271" w:lineRule="exact"/>
        <w:rPr>
          <w:sz w:val="20"/>
          <w:szCs w:val="20"/>
          <w:color w:val="auto"/>
        </w:rPr>
      </w:pPr>
    </w:p>
    <w:p>
      <w:pPr>
        <w:ind w:left="1000"/>
        <w:spacing w:after="0" w:line="354" w:lineRule="exact"/>
        <w:tabs>
          <w:tab w:leader="none" w:pos="2580" w:val="left"/>
        </w:tabs>
        <w:rPr>
          <w:sz w:val="20"/>
          <w:szCs w:val="20"/>
          <w:color w:val="auto"/>
        </w:rPr>
      </w:pPr>
      <w:r>
        <w:rPr>
          <w:rFonts w:ascii="宋体" w:cs="宋体" w:eastAsia="宋体" w:hAnsi="宋体"/>
          <w:sz w:val="31"/>
          <w:szCs w:val="31"/>
          <w:b w:val="1"/>
          <w:bCs w:val="1"/>
          <w:color w:val="auto"/>
        </w:rPr>
        <w:t>第十三条</w:t>
      </w:r>
      <w:r>
        <w:rPr>
          <w:sz w:val="20"/>
          <w:szCs w:val="20"/>
          <w:color w:val="auto"/>
        </w:rPr>
        <w:tab/>
      </w:r>
      <w:r>
        <w:rPr>
          <w:rFonts w:ascii="宋体" w:cs="宋体" w:eastAsia="宋体" w:hAnsi="宋体"/>
          <w:sz w:val="31"/>
          <w:szCs w:val="31"/>
          <w:color w:val="auto"/>
        </w:rPr>
        <w:t>资产评估报告正文应当介绍委托人、被评估</w:t>
      </w:r>
    </w:p>
    <w:p>
      <w:pPr>
        <w:spacing w:after="0" w:line="236" w:lineRule="exact"/>
        <w:rPr>
          <w:sz w:val="20"/>
          <w:szCs w:val="20"/>
          <w:color w:val="auto"/>
        </w:rPr>
      </w:pPr>
    </w:p>
    <w:p>
      <w:pPr>
        <w:ind w:left="360"/>
        <w:spacing w:after="0" w:line="388" w:lineRule="exact"/>
        <w:rPr>
          <w:sz w:val="20"/>
          <w:szCs w:val="20"/>
          <w:color w:val="auto"/>
        </w:rPr>
      </w:pPr>
      <w:r>
        <w:rPr>
          <w:rFonts w:ascii="宋体" w:cs="宋体" w:eastAsia="宋体" w:hAnsi="宋体"/>
          <w:sz w:val="32"/>
          <w:szCs w:val="32"/>
          <w:color w:val="auto"/>
        </w:rPr>
        <w:t>单位</w:t>
      </w:r>
      <w:r>
        <w:rPr>
          <w:rFonts w:ascii="Arial" w:cs="Arial" w:eastAsia="Arial" w:hAnsi="Arial"/>
          <w:sz w:val="32"/>
          <w:szCs w:val="32"/>
          <w:color w:val="auto"/>
        </w:rPr>
        <w:t>(</w:t>
      </w:r>
      <w:r>
        <w:rPr>
          <w:rFonts w:ascii="宋体" w:cs="宋体" w:eastAsia="宋体" w:hAnsi="宋体"/>
          <w:sz w:val="32"/>
          <w:szCs w:val="32"/>
          <w:color w:val="auto"/>
        </w:rPr>
        <w:t>或者产权持有单位</w:t>
      </w:r>
      <w:r>
        <w:rPr>
          <w:rFonts w:ascii="Arial" w:cs="Arial" w:eastAsia="Arial" w:hAnsi="Arial"/>
          <w:sz w:val="32"/>
          <w:szCs w:val="32"/>
          <w:color w:val="auto"/>
        </w:rPr>
        <w:t>)</w:t>
      </w:r>
      <w:r>
        <w:rPr>
          <w:rFonts w:ascii="宋体" w:cs="宋体" w:eastAsia="宋体" w:hAnsi="宋体"/>
          <w:sz w:val="32"/>
          <w:szCs w:val="32"/>
          <w:color w:val="auto"/>
        </w:rPr>
        <w:t>及资产评估委托合同约定的其他</w:t>
      </w:r>
    </w:p>
    <w:p>
      <w:pPr>
        <w:spacing w:after="0" w:line="259"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资产评估报告使用人的概况。</w:t>
      </w:r>
    </w:p>
    <w:p>
      <w:pPr>
        <w:spacing w:after="0" w:line="270" w:lineRule="exact"/>
        <w:rPr>
          <w:sz w:val="20"/>
          <w:szCs w:val="20"/>
          <w:color w:val="auto"/>
        </w:rPr>
      </w:pPr>
    </w:p>
    <w:p>
      <w:pPr>
        <w:ind w:left="1000"/>
        <w:spacing w:after="0" w:line="354" w:lineRule="exact"/>
        <w:rPr>
          <w:sz w:val="20"/>
          <w:szCs w:val="20"/>
          <w:color w:val="auto"/>
        </w:rPr>
      </w:pPr>
      <w:r>
        <w:rPr>
          <w:rFonts w:ascii="宋体" w:cs="宋体" w:eastAsia="宋体" w:hAnsi="宋体"/>
          <w:sz w:val="31"/>
          <w:szCs w:val="31"/>
          <w:color w:val="auto"/>
        </w:rPr>
        <w:t>（一）委托人和资产评估委托合同约定的其他资产评估</w:t>
      </w:r>
    </w:p>
    <w:p>
      <w:pPr>
        <w:spacing w:after="0" w:line="270" w:lineRule="exact"/>
        <w:rPr>
          <w:sz w:val="20"/>
          <w:szCs w:val="20"/>
          <w:color w:val="auto"/>
        </w:rPr>
      </w:pPr>
    </w:p>
    <w:p>
      <w:pPr>
        <w:ind w:left="360"/>
        <w:spacing w:after="0" w:line="354" w:lineRule="exact"/>
        <w:rPr>
          <w:sz w:val="20"/>
          <w:szCs w:val="20"/>
          <w:color w:val="auto"/>
        </w:rPr>
      </w:pPr>
      <w:r>
        <w:rPr>
          <w:rFonts w:ascii="宋体" w:cs="宋体" w:eastAsia="宋体" w:hAnsi="宋体"/>
          <w:sz w:val="31"/>
          <w:szCs w:val="31"/>
          <w:color w:val="auto"/>
        </w:rPr>
        <w:t>报告使用人概况一般包括企业名称及简称、住所、法定代表</w:t>
      </w:r>
    </w:p>
    <w:p>
      <w:pPr>
        <w:spacing w:after="0" w:line="259"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人、注册资本、股东构成及主要经营范围等。</w:t>
      </w:r>
    </w:p>
    <w:p>
      <w:pPr>
        <w:spacing w:after="0" w:line="271" w:lineRule="exact"/>
        <w:rPr>
          <w:sz w:val="20"/>
          <w:szCs w:val="20"/>
          <w:color w:val="auto"/>
        </w:rPr>
      </w:pPr>
    </w:p>
    <w:p>
      <w:pPr>
        <w:ind w:left="1000"/>
        <w:spacing w:after="0" w:line="354" w:lineRule="exact"/>
        <w:rPr>
          <w:sz w:val="20"/>
          <w:szCs w:val="20"/>
          <w:color w:val="auto"/>
        </w:rPr>
      </w:pPr>
      <w:r>
        <w:rPr>
          <w:rFonts w:ascii="宋体" w:cs="宋体" w:eastAsia="宋体" w:hAnsi="宋体"/>
          <w:sz w:val="31"/>
          <w:szCs w:val="31"/>
          <w:color w:val="auto"/>
        </w:rPr>
        <w:t>委托人、资产评估委托合同约定的其他资产评估报告使</w:t>
      </w:r>
    </w:p>
    <w:p>
      <w:pPr>
        <w:spacing w:after="0" w:line="236" w:lineRule="exact"/>
        <w:rPr>
          <w:sz w:val="20"/>
          <w:szCs w:val="20"/>
          <w:color w:val="auto"/>
        </w:rPr>
      </w:pPr>
    </w:p>
    <w:p>
      <w:pPr>
        <w:ind w:left="360"/>
        <w:spacing w:after="0" w:line="388" w:lineRule="exact"/>
        <w:rPr>
          <w:sz w:val="20"/>
          <w:szCs w:val="20"/>
          <w:color w:val="auto"/>
        </w:rPr>
      </w:pPr>
      <w:r>
        <w:rPr>
          <w:rFonts w:ascii="宋体" w:cs="宋体" w:eastAsia="宋体" w:hAnsi="宋体"/>
          <w:sz w:val="32"/>
          <w:szCs w:val="32"/>
          <w:color w:val="auto"/>
        </w:rPr>
        <w:t>用人与被评估单位</w:t>
      </w:r>
      <w:r>
        <w:rPr>
          <w:rFonts w:ascii="Arial" w:cs="Arial" w:eastAsia="Arial" w:hAnsi="Arial"/>
          <w:sz w:val="32"/>
          <w:szCs w:val="32"/>
          <w:color w:val="auto"/>
        </w:rPr>
        <w:t>(</w:t>
      </w:r>
      <w:r>
        <w:rPr>
          <w:rFonts w:ascii="宋体" w:cs="宋体" w:eastAsia="宋体" w:hAnsi="宋体"/>
          <w:sz w:val="32"/>
          <w:szCs w:val="32"/>
          <w:color w:val="auto"/>
        </w:rPr>
        <w:t>或者产权持有单位</w:t>
      </w:r>
      <w:r>
        <w:rPr>
          <w:rFonts w:ascii="Arial" w:cs="Arial" w:eastAsia="Arial" w:hAnsi="Arial"/>
          <w:sz w:val="32"/>
          <w:szCs w:val="32"/>
          <w:color w:val="auto"/>
        </w:rPr>
        <w:t>)</w:t>
      </w:r>
      <w:r>
        <w:rPr>
          <w:rFonts w:ascii="宋体" w:cs="宋体" w:eastAsia="宋体" w:hAnsi="宋体"/>
          <w:sz w:val="32"/>
          <w:szCs w:val="32"/>
          <w:color w:val="auto"/>
        </w:rPr>
        <w:t>为同一单位的，按照</w:t>
      </w:r>
    </w:p>
    <w:p>
      <w:pPr>
        <w:spacing w:after="0" w:line="236" w:lineRule="exact"/>
        <w:rPr>
          <w:sz w:val="20"/>
          <w:szCs w:val="20"/>
          <w:color w:val="auto"/>
        </w:rPr>
      </w:pPr>
    </w:p>
    <w:p>
      <w:pPr>
        <w:ind w:left="360"/>
        <w:spacing w:after="0" w:line="388" w:lineRule="exact"/>
        <w:rPr>
          <w:sz w:val="20"/>
          <w:szCs w:val="20"/>
          <w:color w:val="auto"/>
        </w:rPr>
      </w:pPr>
      <w:r>
        <w:rPr>
          <w:rFonts w:ascii="宋体" w:cs="宋体" w:eastAsia="宋体" w:hAnsi="宋体"/>
          <w:sz w:val="32"/>
          <w:szCs w:val="32"/>
          <w:color w:val="auto"/>
        </w:rPr>
        <w:t>对被评估单位</w:t>
      </w:r>
      <w:r>
        <w:rPr>
          <w:rFonts w:ascii="Arial" w:cs="Arial" w:eastAsia="Arial" w:hAnsi="Arial"/>
          <w:sz w:val="32"/>
          <w:szCs w:val="32"/>
          <w:color w:val="auto"/>
        </w:rPr>
        <w:t>(</w:t>
      </w:r>
      <w:r>
        <w:rPr>
          <w:rFonts w:ascii="宋体" w:cs="宋体" w:eastAsia="宋体" w:hAnsi="宋体"/>
          <w:sz w:val="32"/>
          <w:szCs w:val="32"/>
          <w:color w:val="auto"/>
        </w:rPr>
        <w:t>或者产权持有单位</w:t>
      </w:r>
      <w:r>
        <w:rPr>
          <w:rFonts w:ascii="Arial" w:cs="Arial" w:eastAsia="Arial" w:hAnsi="Arial"/>
          <w:sz w:val="32"/>
          <w:szCs w:val="32"/>
          <w:color w:val="auto"/>
        </w:rPr>
        <w:t>)</w:t>
      </w:r>
      <w:r>
        <w:rPr>
          <w:rFonts w:ascii="宋体" w:cs="宋体" w:eastAsia="宋体" w:hAnsi="宋体"/>
          <w:sz w:val="32"/>
          <w:szCs w:val="32"/>
          <w:color w:val="auto"/>
        </w:rPr>
        <w:t>的要求编写。</w:t>
      </w:r>
    </w:p>
    <w:p>
      <w:pPr>
        <w:spacing w:after="0" w:line="236" w:lineRule="exact"/>
        <w:rPr>
          <w:sz w:val="20"/>
          <w:szCs w:val="20"/>
          <w:color w:val="auto"/>
        </w:rPr>
      </w:pPr>
    </w:p>
    <w:p>
      <w:pPr>
        <w:ind w:left="1000"/>
        <w:spacing w:after="0" w:line="388" w:lineRule="exact"/>
        <w:rPr>
          <w:sz w:val="20"/>
          <w:szCs w:val="20"/>
          <w:color w:val="auto"/>
        </w:rPr>
      </w:pPr>
      <w:r>
        <w:rPr>
          <w:rFonts w:ascii="宋体" w:cs="宋体" w:eastAsia="宋体" w:hAnsi="宋体"/>
          <w:sz w:val="32"/>
          <w:szCs w:val="32"/>
          <w:color w:val="auto"/>
        </w:rPr>
        <w:t>（二）被评估单位</w:t>
      </w:r>
      <w:r>
        <w:rPr>
          <w:rFonts w:ascii="Arial" w:cs="Arial" w:eastAsia="Arial" w:hAnsi="Arial"/>
          <w:sz w:val="32"/>
          <w:szCs w:val="32"/>
          <w:color w:val="auto"/>
        </w:rPr>
        <w:t>(</w:t>
      </w:r>
      <w:r>
        <w:rPr>
          <w:rFonts w:ascii="宋体" w:cs="宋体" w:eastAsia="宋体" w:hAnsi="宋体"/>
          <w:sz w:val="32"/>
          <w:szCs w:val="32"/>
          <w:color w:val="auto"/>
        </w:rPr>
        <w:t>或者产权持有单位</w:t>
      </w:r>
      <w:r>
        <w:rPr>
          <w:rFonts w:ascii="Arial" w:cs="Arial" w:eastAsia="Arial" w:hAnsi="Arial"/>
          <w:sz w:val="32"/>
          <w:szCs w:val="32"/>
          <w:color w:val="auto"/>
        </w:rPr>
        <w:t>)</w:t>
      </w:r>
      <w:r>
        <w:rPr>
          <w:rFonts w:ascii="宋体" w:cs="宋体" w:eastAsia="宋体" w:hAnsi="宋体"/>
          <w:sz w:val="32"/>
          <w:szCs w:val="32"/>
          <w:color w:val="auto"/>
        </w:rPr>
        <w:t>概况应当按以下</w:t>
      </w:r>
    </w:p>
    <w:p>
      <w:pPr>
        <w:spacing w:after="0" w:line="259"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要求编写：</w:t>
      </w:r>
    </w:p>
    <w:p>
      <w:pPr>
        <w:spacing w:after="0" w:line="236" w:lineRule="exact"/>
        <w:rPr>
          <w:sz w:val="20"/>
          <w:szCs w:val="20"/>
          <w:color w:val="auto"/>
        </w:rPr>
      </w:pPr>
    </w:p>
    <w:p>
      <w:pPr>
        <w:ind w:left="1000"/>
        <w:spacing w:after="0" w:line="388" w:lineRule="exact"/>
        <w:rPr>
          <w:sz w:val="20"/>
          <w:szCs w:val="20"/>
          <w:color w:val="auto"/>
        </w:rPr>
      </w:pPr>
      <w:r>
        <w:rPr>
          <w:rFonts w:ascii="Arial" w:cs="Arial" w:eastAsia="Arial" w:hAnsi="Arial"/>
          <w:sz w:val="32"/>
          <w:szCs w:val="32"/>
          <w:color w:val="auto"/>
        </w:rPr>
        <w:t>1</w:t>
      </w:r>
      <w:r>
        <w:rPr>
          <w:rFonts w:ascii="宋体" w:cs="宋体" w:eastAsia="宋体" w:hAnsi="宋体"/>
          <w:sz w:val="32"/>
          <w:szCs w:val="32"/>
          <w:color w:val="auto"/>
        </w:rPr>
        <w:t>．企业价值评估中，被评估单位</w:t>
      </w:r>
      <w:r>
        <w:rPr>
          <w:rFonts w:ascii="Arial" w:cs="Arial" w:eastAsia="Arial" w:hAnsi="Arial"/>
          <w:sz w:val="32"/>
          <w:szCs w:val="32"/>
          <w:color w:val="auto"/>
        </w:rPr>
        <w:t>(</w:t>
      </w:r>
      <w:r>
        <w:rPr>
          <w:rFonts w:ascii="宋体" w:cs="宋体" w:eastAsia="宋体" w:hAnsi="宋体"/>
          <w:sz w:val="32"/>
          <w:szCs w:val="32"/>
          <w:color w:val="auto"/>
        </w:rPr>
        <w:t>或者产权持有单位</w:t>
      </w:r>
      <w:r>
        <w:rPr>
          <w:rFonts w:ascii="Arial" w:cs="Arial" w:eastAsia="Arial" w:hAnsi="Arial"/>
          <w:sz w:val="32"/>
          <w:szCs w:val="32"/>
          <w:color w:val="auto"/>
        </w:rPr>
        <w:t>)</w:t>
      </w:r>
    </w:p>
    <w:p>
      <w:pPr>
        <w:spacing w:after="0" w:line="259"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概况一般包括：</w:t>
      </w:r>
    </w:p>
    <w:p>
      <w:pPr>
        <w:spacing w:after="0" w:line="236" w:lineRule="exact"/>
        <w:rPr>
          <w:sz w:val="20"/>
          <w:szCs w:val="20"/>
          <w:color w:val="auto"/>
        </w:rPr>
      </w:pPr>
    </w:p>
    <w:p>
      <w:pPr>
        <w:ind w:left="1000"/>
        <w:spacing w:after="0" w:line="388" w:lineRule="exact"/>
        <w:rPr>
          <w:sz w:val="20"/>
          <w:szCs w:val="20"/>
          <w:color w:val="auto"/>
        </w:rPr>
      </w:pPr>
      <w:r>
        <w:rPr>
          <w:rFonts w:ascii="宋体" w:cs="宋体" w:eastAsia="宋体" w:hAnsi="宋体"/>
          <w:sz w:val="32"/>
          <w:szCs w:val="32"/>
          <w:color w:val="auto"/>
        </w:rPr>
        <w:t>（</w:t>
      </w:r>
      <w:r>
        <w:rPr>
          <w:rFonts w:ascii="Arial" w:cs="Arial" w:eastAsia="Arial" w:hAnsi="Arial"/>
          <w:sz w:val="32"/>
          <w:szCs w:val="32"/>
          <w:color w:val="auto"/>
        </w:rPr>
        <w:t>1</w:t>
      </w:r>
      <w:r>
        <w:rPr>
          <w:rFonts w:ascii="宋体" w:cs="宋体" w:eastAsia="宋体" w:hAnsi="宋体"/>
          <w:sz w:val="32"/>
          <w:szCs w:val="32"/>
          <w:color w:val="auto"/>
        </w:rPr>
        <w:t>）企业名称及简称、住所、法定代表人、主要经营</w:t>
      </w:r>
    </w:p>
    <w:p>
      <w:pPr>
        <w:spacing w:after="0" w:line="270" w:lineRule="exact"/>
        <w:rPr>
          <w:sz w:val="20"/>
          <w:szCs w:val="20"/>
          <w:color w:val="auto"/>
        </w:rPr>
      </w:pPr>
    </w:p>
    <w:p>
      <w:pPr>
        <w:jc w:val="center"/>
        <w:ind w:right="6"/>
        <w:spacing w:after="0" w:line="354" w:lineRule="exact"/>
        <w:rPr>
          <w:sz w:val="20"/>
          <w:szCs w:val="20"/>
          <w:color w:val="auto"/>
        </w:rPr>
      </w:pPr>
      <w:r>
        <w:rPr>
          <w:rFonts w:ascii="宋体" w:cs="宋体" w:eastAsia="宋体" w:hAnsi="宋体"/>
          <w:sz w:val="31"/>
          <w:szCs w:val="31"/>
          <w:color w:val="auto"/>
        </w:rPr>
        <w:t>范围、经营产品、注册资本、取得金融业务许可证或者主管</w:t>
      </w:r>
    </w:p>
    <w:p>
      <w:pPr>
        <w:spacing w:after="0" w:line="270" w:lineRule="exact"/>
        <w:rPr>
          <w:sz w:val="20"/>
          <w:szCs w:val="20"/>
          <w:color w:val="auto"/>
        </w:rPr>
      </w:pPr>
    </w:p>
    <w:p>
      <w:pPr>
        <w:ind w:left="360"/>
        <w:spacing w:after="0" w:line="354" w:lineRule="exact"/>
        <w:rPr>
          <w:sz w:val="20"/>
          <w:szCs w:val="20"/>
          <w:color w:val="auto"/>
        </w:rPr>
      </w:pPr>
      <w:r>
        <w:rPr>
          <w:rFonts w:ascii="宋体" w:cs="宋体" w:eastAsia="宋体" w:hAnsi="宋体"/>
          <w:sz w:val="31"/>
          <w:szCs w:val="31"/>
          <w:color w:val="auto"/>
        </w:rPr>
        <w:t>部门准入批复文件、企业股东及持股比例、企业股权变更等</w:t>
      </w:r>
    </w:p>
    <w:p>
      <w:pPr>
        <w:spacing w:after="0" w:line="259"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历史沿革情况；</w:t>
      </w:r>
    </w:p>
    <w:p>
      <w:pPr>
        <w:spacing w:after="0" w:line="236" w:lineRule="exact"/>
        <w:rPr>
          <w:sz w:val="20"/>
          <w:szCs w:val="20"/>
          <w:color w:val="auto"/>
        </w:rPr>
      </w:pPr>
    </w:p>
    <w:p>
      <w:pPr>
        <w:ind w:left="1000"/>
        <w:spacing w:after="0" w:line="388" w:lineRule="exact"/>
        <w:rPr>
          <w:sz w:val="20"/>
          <w:szCs w:val="20"/>
          <w:color w:val="auto"/>
        </w:rPr>
      </w:pPr>
      <w:r>
        <w:rPr>
          <w:rFonts w:ascii="宋体" w:cs="宋体" w:eastAsia="宋体" w:hAnsi="宋体"/>
          <w:sz w:val="32"/>
          <w:szCs w:val="32"/>
          <w:color w:val="auto"/>
        </w:rPr>
        <w:t>（</w:t>
      </w:r>
      <w:r>
        <w:rPr>
          <w:rFonts w:ascii="Arial" w:cs="Arial" w:eastAsia="Arial" w:hAnsi="Arial"/>
          <w:sz w:val="32"/>
          <w:szCs w:val="32"/>
          <w:color w:val="auto"/>
        </w:rPr>
        <w:t>2</w:t>
      </w:r>
      <w:r>
        <w:rPr>
          <w:rFonts w:ascii="宋体" w:cs="宋体" w:eastAsia="宋体" w:hAnsi="宋体"/>
          <w:sz w:val="32"/>
          <w:szCs w:val="32"/>
          <w:color w:val="auto"/>
        </w:rPr>
        <w:t>）被评估单位</w:t>
      </w:r>
      <w:r>
        <w:rPr>
          <w:rFonts w:ascii="Arial" w:cs="Arial" w:eastAsia="Arial" w:hAnsi="Arial"/>
          <w:sz w:val="32"/>
          <w:szCs w:val="32"/>
          <w:color w:val="auto"/>
        </w:rPr>
        <w:t>(</w:t>
      </w:r>
      <w:r>
        <w:rPr>
          <w:rFonts w:ascii="宋体" w:cs="宋体" w:eastAsia="宋体" w:hAnsi="宋体"/>
          <w:sz w:val="32"/>
          <w:szCs w:val="32"/>
          <w:color w:val="auto"/>
        </w:rPr>
        <w:t>或者产权持有单位</w:t>
      </w:r>
      <w:r>
        <w:rPr>
          <w:rFonts w:ascii="Arial" w:cs="Arial" w:eastAsia="Arial" w:hAnsi="Arial"/>
          <w:sz w:val="32"/>
          <w:szCs w:val="32"/>
          <w:color w:val="auto"/>
        </w:rPr>
        <w:t>)</w:t>
      </w:r>
      <w:r>
        <w:rPr>
          <w:rFonts w:ascii="宋体" w:cs="宋体" w:eastAsia="宋体" w:hAnsi="宋体"/>
          <w:sz w:val="32"/>
          <w:szCs w:val="32"/>
          <w:color w:val="auto"/>
        </w:rPr>
        <w:t>主要股东介绍，</w:t>
      </w:r>
    </w:p>
    <w:p>
      <w:pPr>
        <w:spacing w:after="0" w:line="271" w:lineRule="exact"/>
        <w:rPr>
          <w:sz w:val="20"/>
          <w:szCs w:val="20"/>
          <w:color w:val="auto"/>
        </w:rPr>
      </w:pPr>
    </w:p>
    <w:p>
      <w:pPr>
        <w:ind w:left="360"/>
        <w:spacing w:after="0" w:line="354" w:lineRule="exact"/>
        <w:rPr>
          <w:sz w:val="20"/>
          <w:szCs w:val="20"/>
          <w:color w:val="auto"/>
        </w:rPr>
      </w:pPr>
      <w:r>
        <w:rPr>
          <w:rFonts w:ascii="宋体" w:cs="宋体" w:eastAsia="宋体" w:hAnsi="宋体"/>
          <w:sz w:val="31"/>
          <w:szCs w:val="31"/>
          <w:color w:val="auto"/>
        </w:rPr>
        <w:t>一般包括主要股东的名称、住所、法定代表人、主要经营范</w:t>
      </w:r>
    </w:p>
    <w:p>
      <w:pPr>
        <w:spacing w:after="0" w:line="259"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围、注册资本及经营业绩；</w:t>
      </w:r>
    </w:p>
    <w:p>
      <w:pPr>
        <w:spacing w:after="0" w:line="236" w:lineRule="exact"/>
        <w:rPr>
          <w:sz w:val="20"/>
          <w:szCs w:val="20"/>
          <w:color w:val="auto"/>
        </w:rPr>
      </w:pPr>
    </w:p>
    <w:p>
      <w:pPr>
        <w:ind w:left="1000"/>
        <w:spacing w:after="0" w:line="388" w:lineRule="exact"/>
        <w:rPr>
          <w:sz w:val="20"/>
          <w:szCs w:val="20"/>
          <w:color w:val="auto"/>
        </w:rPr>
      </w:pPr>
      <w:r>
        <w:rPr>
          <w:rFonts w:ascii="宋体" w:cs="宋体" w:eastAsia="宋体" w:hAnsi="宋体"/>
          <w:sz w:val="32"/>
          <w:szCs w:val="32"/>
          <w:color w:val="auto"/>
        </w:rPr>
        <w:t>（</w:t>
      </w:r>
      <w:r>
        <w:rPr>
          <w:rFonts w:ascii="Arial" w:cs="Arial" w:eastAsia="Arial" w:hAnsi="Arial"/>
          <w:sz w:val="32"/>
          <w:szCs w:val="32"/>
          <w:color w:val="auto"/>
        </w:rPr>
        <w:t>3</w:t>
      </w:r>
      <w:r>
        <w:rPr>
          <w:rFonts w:ascii="宋体" w:cs="宋体" w:eastAsia="宋体" w:hAnsi="宋体"/>
          <w:sz w:val="32"/>
          <w:szCs w:val="32"/>
          <w:color w:val="auto"/>
        </w:rPr>
        <w:t>）企业的财务核算体系介绍，近三年资产、财务及</w:t>
      </w:r>
    </w:p>
    <w:p>
      <w:pPr>
        <w:sectPr>
          <w:pgSz w:w="11900" w:h="16838" w:orient="portrait"/>
          <w:cols w:equalWidth="0" w:num="1">
            <w:col w:w="9026"/>
          </w:cols>
          <w:pgMar w:left="1440" w:top="1440" w:right="1440" w:bottom="1440" w:gutter="0" w:footer="0" w:header="0"/>
        </w:sectPr>
      </w:pPr>
    </w:p>
    <w:bookmarkStart w:id="5" w:name="page6"/>
    <w:bookmarkEnd w:id="5"/>
    <w:p>
      <w:pPr>
        <w:spacing w:after="0" w:line="104"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经营状况；</w:t>
      </w:r>
    </w:p>
    <w:p>
      <w:pPr>
        <w:spacing w:after="0" w:line="237" w:lineRule="exact"/>
        <w:rPr>
          <w:sz w:val="20"/>
          <w:szCs w:val="20"/>
          <w:color w:val="auto"/>
        </w:rPr>
      </w:pPr>
    </w:p>
    <w:p>
      <w:pPr>
        <w:ind w:left="1000"/>
        <w:spacing w:after="0" w:line="388" w:lineRule="exact"/>
        <w:rPr>
          <w:sz w:val="20"/>
          <w:szCs w:val="20"/>
          <w:color w:val="auto"/>
        </w:rPr>
      </w:pPr>
      <w:r>
        <w:rPr>
          <w:rFonts w:ascii="宋体" w:cs="宋体" w:eastAsia="宋体" w:hAnsi="宋体"/>
          <w:sz w:val="32"/>
          <w:szCs w:val="32"/>
          <w:color w:val="auto"/>
        </w:rPr>
        <w:t>（</w:t>
      </w:r>
      <w:r>
        <w:rPr>
          <w:rFonts w:ascii="Arial" w:cs="Arial" w:eastAsia="Arial" w:hAnsi="Arial"/>
          <w:sz w:val="32"/>
          <w:szCs w:val="32"/>
          <w:color w:val="auto"/>
        </w:rPr>
        <w:t>4</w:t>
      </w:r>
      <w:r>
        <w:rPr>
          <w:rFonts w:ascii="宋体" w:cs="宋体" w:eastAsia="宋体" w:hAnsi="宋体"/>
          <w:sz w:val="32"/>
          <w:szCs w:val="32"/>
          <w:color w:val="auto"/>
        </w:rPr>
        <w:t>）企业各子公司、分公司及主要部门的构成情况，</w:t>
      </w:r>
    </w:p>
    <w:p>
      <w:pPr>
        <w:spacing w:after="0" w:line="259"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并以适当的形式表明各级子公司的股权结构及股权比例；</w:t>
      </w:r>
    </w:p>
    <w:p>
      <w:pPr>
        <w:spacing w:after="0" w:line="236" w:lineRule="exact"/>
        <w:rPr>
          <w:sz w:val="20"/>
          <w:szCs w:val="20"/>
          <w:color w:val="auto"/>
        </w:rPr>
      </w:pPr>
    </w:p>
    <w:p>
      <w:pPr>
        <w:ind w:left="1000"/>
        <w:spacing w:after="0" w:line="388" w:lineRule="exact"/>
        <w:rPr>
          <w:sz w:val="20"/>
          <w:szCs w:val="20"/>
          <w:color w:val="auto"/>
        </w:rPr>
      </w:pPr>
      <w:r>
        <w:rPr>
          <w:rFonts w:ascii="宋体" w:cs="宋体" w:eastAsia="宋体" w:hAnsi="宋体"/>
          <w:sz w:val="32"/>
          <w:szCs w:val="32"/>
          <w:color w:val="auto"/>
        </w:rPr>
        <w:t>（</w:t>
      </w:r>
      <w:r>
        <w:rPr>
          <w:rFonts w:ascii="Arial" w:cs="Arial" w:eastAsia="Arial" w:hAnsi="Arial"/>
          <w:sz w:val="32"/>
          <w:szCs w:val="32"/>
          <w:color w:val="auto"/>
        </w:rPr>
        <w:t>5</w:t>
      </w:r>
      <w:r>
        <w:rPr>
          <w:rFonts w:ascii="宋体" w:cs="宋体" w:eastAsia="宋体" w:hAnsi="宋体"/>
          <w:sz w:val="32"/>
          <w:szCs w:val="32"/>
          <w:color w:val="auto"/>
        </w:rPr>
        <w:t>）企业经营特点。如：银行信贷资产的种类、规模</w:t>
      </w:r>
    </w:p>
    <w:p>
      <w:pPr>
        <w:spacing w:after="0" w:line="270" w:lineRule="exact"/>
        <w:rPr>
          <w:sz w:val="20"/>
          <w:szCs w:val="20"/>
          <w:color w:val="auto"/>
        </w:rPr>
      </w:pPr>
    </w:p>
    <w:p>
      <w:pPr>
        <w:jc w:val="center"/>
        <w:ind w:right="6"/>
        <w:spacing w:after="0" w:line="354" w:lineRule="exact"/>
        <w:rPr>
          <w:sz w:val="20"/>
          <w:szCs w:val="20"/>
          <w:color w:val="auto"/>
        </w:rPr>
      </w:pPr>
      <w:r>
        <w:rPr>
          <w:rFonts w:ascii="宋体" w:cs="宋体" w:eastAsia="宋体" w:hAnsi="宋体"/>
          <w:sz w:val="31"/>
          <w:szCs w:val="31"/>
          <w:color w:val="auto"/>
        </w:rPr>
        <w:t>及质量等，营业网点及分布情况、市场地位情况等；保险公</w:t>
      </w:r>
    </w:p>
    <w:p>
      <w:pPr>
        <w:spacing w:after="0" w:line="270" w:lineRule="exact"/>
        <w:rPr>
          <w:sz w:val="20"/>
          <w:szCs w:val="20"/>
          <w:color w:val="auto"/>
        </w:rPr>
      </w:pPr>
    </w:p>
    <w:p>
      <w:pPr>
        <w:jc w:val="center"/>
        <w:ind w:right="6"/>
        <w:spacing w:after="0" w:line="354" w:lineRule="exact"/>
        <w:rPr>
          <w:sz w:val="20"/>
          <w:szCs w:val="20"/>
          <w:color w:val="auto"/>
        </w:rPr>
      </w:pPr>
      <w:r>
        <w:rPr>
          <w:rFonts w:ascii="宋体" w:cs="宋体" w:eastAsia="宋体" w:hAnsi="宋体"/>
          <w:sz w:val="31"/>
          <w:szCs w:val="31"/>
          <w:color w:val="auto"/>
        </w:rPr>
        <w:t>司的主要险种、保费收入、赔付情况、市场地位等；证券公</w:t>
      </w:r>
    </w:p>
    <w:p>
      <w:pPr>
        <w:spacing w:after="0" w:line="259"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司的经纪业务、自营业务、承销业务的规模和收入比重，营</w:t>
      </w:r>
    </w:p>
    <w:p>
      <w:pPr>
        <w:spacing w:after="0" w:line="260"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业网点数量及分布情况，市场地位等。</w:t>
      </w:r>
    </w:p>
    <w:p>
      <w:pPr>
        <w:spacing w:after="0" w:line="236" w:lineRule="exact"/>
        <w:rPr>
          <w:sz w:val="20"/>
          <w:szCs w:val="20"/>
          <w:color w:val="auto"/>
        </w:rPr>
      </w:pPr>
    </w:p>
    <w:p>
      <w:pPr>
        <w:ind w:left="1000"/>
        <w:spacing w:after="0" w:line="388" w:lineRule="exact"/>
        <w:rPr>
          <w:sz w:val="20"/>
          <w:szCs w:val="20"/>
          <w:color w:val="auto"/>
        </w:rPr>
      </w:pPr>
      <w:r>
        <w:rPr>
          <w:rFonts w:ascii="Arial" w:cs="Arial" w:eastAsia="Arial" w:hAnsi="Arial"/>
          <w:sz w:val="32"/>
          <w:szCs w:val="32"/>
          <w:color w:val="auto"/>
        </w:rPr>
        <w:t>2</w:t>
      </w:r>
      <w:r>
        <w:rPr>
          <w:rFonts w:ascii="宋体" w:cs="宋体" w:eastAsia="宋体" w:hAnsi="宋体"/>
          <w:sz w:val="32"/>
          <w:szCs w:val="32"/>
          <w:color w:val="auto"/>
        </w:rPr>
        <w:t>．单项资产或者资产组合评估，被评估单位</w:t>
      </w:r>
      <w:r>
        <w:rPr>
          <w:rFonts w:ascii="Arial" w:cs="Arial" w:eastAsia="Arial" w:hAnsi="Arial"/>
          <w:sz w:val="32"/>
          <w:szCs w:val="32"/>
          <w:color w:val="auto"/>
        </w:rPr>
        <w:t>(</w:t>
      </w:r>
      <w:r>
        <w:rPr>
          <w:rFonts w:ascii="宋体" w:cs="宋体" w:eastAsia="宋体" w:hAnsi="宋体"/>
          <w:sz w:val="32"/>
          <w:szCs w:val="32"/>
          <w:color w:val="auto"/>
        </w:rPr>
        <w:t>或者产权</w:t>
      </w:r>
    </w:p>
    <w:p>
      <w:pPr>
        <w:spacing w:after="0" w:line="236" w:lineRule="exact"/>
        <w:rPr>
          <w:sz w:val="20"/>
          <w:szCs w:val="20"/>
          <w:color w:val="auto"/>
        </w:rPr>
      </w:pPr>
    </w:p>
    <w:p>
      <w:pPr>
        <w:ind w:left="360"/>
        <w:spacing w:after="0" w:line="388" w:lineRule="exact"/>
        <w:rPr>
          <w:sz w:val="20"/>
          <w:szCs w:val="20"/>
          <w:color w:val="auto"/>
        </w:rPr>
      </w:pPr>
      <w:r>
        <w:rPr>
          <w:rFonts w:ascii="宋体" w:cs="宋体" w:eastAsia="宋体" w:hAnsi="宋体"/>
          <w:sz w:val="32"/>
          <w:szCs w:val="32"/>
          <w:color w:val="auto"/>
        </w:rPr>
        <w:t>持有单位</w:t>
      </w:r>
      <w:r>
        <w:rPr>
          <w:rFonts w:ascii="Arial" w:cs="Arial" w:eastAsia="Arial" w:hAnsi="Arial"/>
          <w:sz w:val="32"/>
          <w:szCs w:val="32"/>
          <w:color w:val="auto"/>
        </w:rPr>
        <w:t>)</w:t>
      </w:r>
      <w:r>
        <w:rPr>
          <w:rFonts w:ascii="宋体" w:cs="宋体" w:eastAsia="宋体" w:hAnsi="宋体"/>
          <w:sz w:val="32"/>
          <w:szCs w:val="32"/>
          <w:color w:val="auto"/>
        </w:rPr>
        <w:t>概况一般包括企业名称及简称、住所、法定代表</w:t>
      </w:r>
    </w:p>
    <w:p>
      <w:pPr>
        <w:spacing w:after="0" w:line="259"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人、注册资本、股东构成及主要经营范围等。</w:t>
      </w:r>
    </w:p>
    <w:p>
      <w:pPr>
        <w:spacing w:after="0" w:line="236" w:lineRule="exact"/>
        <w:rPr>
          <w:sz w:val="20"/>
          <w:szCs w:val="20"/>
          <w:color w:val="auto"/>
        </w:rPr>
      </w:pPr>
    </w:p>
    <w:p>
      <w:pPr>
        <w:ind w:left="1000"/>
        <w:spacing w:after="0" w:line="388" w:lineRule="exact"/>
        <w:rPr>
          <w:sz w:val="20"/>
          <w:szCs w:val="20"/>
          <w:color w:val="auto"/>
        </w:rPr>
      </w:pPr>
      <w:r>
        <w:rPr>
          <w:rFonts w:ascii="宋体" w:cs="宋体" w:eastAsia="宋体" w:hAnsi="宋体"/>
          <w:sz w:val="32"/>
          <w:szCs w:val="32"/>
          <w:color w:val="auto"/>
        </w:rPr>
        <w:t>（三）委托人和被评估单位</w:t>
      </w:r>
      <w:r>
        <w:rPr>
          <w:rFonts w:ascii="Arial" w:cs="Arial" w:eastAsia="Arial" w:hAnsi="Arial"/>
          <w:sz w:val="32"/>
          <w:szCs w:val="32"/>
          <w:color w:val="auto"/>
        </w:rPr>
        <w:t>(</w:t>
      </w:r>
      <w:r>
        <w:rPr>
          <w:rFonts w:ascii="宋体" w:cs="宋体" w:eastAsia="宋体" w:hAnsi="宋体"/>
          <w:sz w:val="32"/>
          <w:szCs w:val="32"/>
          <w:color w:val="auto"/>
        </w:rPr>
        <w:t>或者产权持有单位</w:t>
      </w:r>
      <w:r>
        <w:rPr>
          <w:rFonts w:ascii="Arial" w:cs="Arial" w:eastAsia="Arial" w:hAnsi="Arial"/>
          <w:sz w:val="32"/>
          <w:szCs w:val="32"/>
          <w:color w:val="auto"/>
        </w:rPr>
        <w:t>)</w:t>
      </w:r>
      <w:r>
        <w:rPr>
          <w:rFonts w:ascii="宋体" w:cs="宋体" w:eastAsia="宋体" w:hAnsi="宋体"/>
          <w:sz w:val="32"/>
          <w:szCs w:val="32"/>
          <w:color w:val="auto"/>
        </w:rPr>
        <w:t>及资产</w:t>
      </w:r>
    </w:p>
    <w:p>
      <w:pPr>
        <w:spacing w:after="0" w:line="259"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评估委托合同约定的其他资产评估报告使用人之间的关系，</w:t>
      </w:r>
    </w:p>
    <w:p>
      <w:pPr>
        <w:spacing w:after="0" w:line="259"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如产权关系、交易关系等。若存在关联交易，应当说明关联</w:t>
      </w:r>
    </w:p>
    <w:p>
      <w:pPr>
        <w:spacing w:after="0" w:line="259"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方、交易方式等基本情况。</w:t>
      </w:r>
    </w:p>
    <w:p>
      <w:pPr>
        <w:spacing w:after="0" w:line="259" w:lineRule="exact"/>
        <w:rPr>
          <w:sz w:val="20"/>
          <w:szCs w:val="20"/>
          <w:color w:val="auto"/>
        </w:rPr>
      </w:pPr>
    </w:p>
    <w:p>
      <w:pPr>
        <w:ind w:left="1000"/>
        <w:spacing w:after="0" w:line="366" w:lineRule="exact"/>
        <w:tabs>
          <w:tab w:leader="none" w:pos="2580" w:val="left"/>
        </w:tabs>
        <w:rPr>
          <w:sz w:val="20"/>
          <w:szCs w:val="20"/>
          <w:color w:val="auto"/>
        </w:rPr>
      </w:pPr>
      <w:r>
        <w:rPr>
          <w:rFonts w:ascii="宋体" w:cs="宋体" w:eastAsia="宋体" w:hAnsi="宋体"/>
          <w:sz w:val="32"/>
          <w:szCs w:val="32"/>
          <w:b w:val="1"/>
          <w:bCs w:val="1"/>
          <w:color w:val="auto"/>
        </w:rPr>
        <w:t>第十四条</w:t>
      </w:r>
      <w:r>
        <w:rPr>
          <w:sz w:val="20"/>
          <w:szCs w:val="20"/>
          <w:color w:val="auto"/>
        </w:rPr>
        <w:tab/>
      </w:r>
      <w:r>
        <w:rPr>
          <w:rFonts w:ascii="宋体" w:cs="宋体" w:eastAsia="宋体" w:hAnsi="宋体"/>
          <w:sz w:val="32"/>
          <w:szCs w:val="32"/>
          <w:color w:val="auto"/>
        </w:rPr>
        <w:t>资产评估报告应当说明本次资产评估的目</w:t>
      </w:r>
    </w:p>
    <w:p>
      <w:pPr>
        <w:spacing w:after="0" w:line="259"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的及其所对应的经济行为，并说明该经济行为获得批准的相</w:t>
      </w:r>
    </w:p>
    <w:p>
      <w:pPr>
        <w:spacing w:after="0" w:line="259"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关情况或者其他经济行为依据。</w:t>
      </w:r>
    </w:p>
    <w:p>
      <w:pPr>
        <w:spacing w:after="0" w:line="259" w:lineRule="exact"/>
        <w:rPr>
          <w:sz w:val="20"/>
          <w:szCs w:val="20"/>
          <w:color w:val="auto"/>
        </w:rPr>
      </w:pPr>
    </w:p>
    <w:p>
      <w:pPr>
        <w:ind w:left="1000"/>
        <w:spacing w:after="0" w:line="366" w:lineRule="exact"/>
        <w:tabs>
          <w:tab w:leader="none" w:pos="2580" w:val="left"/>
        </w:tabs>
        <w:rPr>
          <w:sz w:val="20"/>
          <w:szCs w:val="20"/>
          <w:color w:val="auto"/>
        </w:rPr>
      </w:pPr>
      <w:r>
        <w:rPr>
          <w:rFonts w:ascii="宋体" w:cs="宋体" w:eastAsia="宋体" w:hAnsi="宋体"/>
          <w:sz w:val="32"/>
          <w:szCs w:val="32"/>
          <w:b w:val="1"/>
          <w:bCs w:val="1"/>
          <w:color w:val="auto"/>
        </w:rPr>
        <w:t>第十五条</w:t>
      </w:r>
      <w:r>
        <w:rPr>
          <w:sz w:val="20"/>
          <w:szCs w:val="20"/>
          <w:color w:val="auto"/>
        </w:rPr>
        <w:tab/>
      </w:r>
      <w:r>
        <w:rPr>
          <w:rFonts w:ascii="宋体" w:cs="宋体" w:eastAsia="宋体" w:hAnsi="宋体"/>
          <w:sz w:val="32"/>
          <w:szCs w:val="32"/>
          <w:color w:val="auto"/>
        </w:rPr>
        <w:t>资产评估报告应当对评估对象进行具体描</w:t>
      </w:r>
    </w:p>
    <w:p>
      <w:pPr>
        <w:spacing w:after="0" w:line="260"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述，以文字、表格等方式说明评估范围。</w:t>
      </w:r>
    </w:p>
    <w:p>
      <w:pPr>
        <w:spacing w:after="0" w:line="259" w:lineRule="exact"/>
        <w:rPr>
          <w:sz w:val="20"/>
          <w:szCs w:val="20"/>
          <w:color w:val="auto"/>
        </w:rPr>
      </w:pPr>
    </w:p>
    <w:p>
      <w:pPr>
        <w:ind w:left="1000"/>
        <w:spacing w:after="0" w:line="366" w:lineRule="exact"/>
        <w:rPr>
          <w:sz w:val="20"/>
          <w:szCs w:val="20"/>
          <w:color w:val="auto"/>
        </w:rPr>
      </w:pPr>
      <w:r>
        <w:rPr>
          <w:rFonts w:ascii="宋体" w:cs="宋体" w:eastAsia="宋体" w:hAnsi="宋体"/>
          <w:sz w:val="32"/>
          <w:szCs w:val="32"/>
          <w:color w:val="auto"/>
        </w:rPr>
        <w:t>企业价值评估中，通常需要说明下列内容：</w:t>
      </w:r>
    </w:p>
    <w:p>
      <w:pPr>
        <w:spacing w:after="0" w:line="259" w:lineRule="exact"/>
        <w:rPr>
          <w:sz w:val="20"/>
          <w:szCs w:val="20"/>
          <w:color w:val="auto"/>
        </w:rPr>
      </w:pPr>
    </w:p>
    <w:p>
      <w:pPr>
        <w:ind w:left="1000"/>
        <w:spacing w:after="0" w:line="366" w:lineRule="exact"/>
        <w:rPr>
          <w:sz w:val="20"/>
          <w:szCs w:val="20"/>
          <w:color w:val="auto"/>
        </w:rPr>
      </w:pPr>
      <w:r>
        <w:rPr>
          <w:rFonts w:ascii="宋体" w:cs="宋体" w:eastAsia="宋体" w:hAnsi="宋体"/>
          <w:sz w:val="32"/>
          <w:szCs w:val="32"/>
          <w:color w:val="auto"/>
        </w:rPr>
        <w:t>（一）委托评估对象和评估范围与经济行为涉及的评估</w:t>
      </w:r>
    </w:p>
    <w:p>
      <w:pPr>
        <w:sectPr>
          <w:pgSz w:w="11900" w:h="16838" w:orient="portrait"/>
          <w:cols w:equalWidth="0" w:num="1">
            <w:col w:w="9026"/>
          </w:cols>
          <w:pgMar w:left="1440" w:top="1440" w:right="1440" w:bottom="1440" w:gutter="0" w:footer="0" w:header="0"/>
        </w:sectPr>
      </w:pPr>
    </w:p>
    <w:bookmarkStart w:id="6" w:name="page7"/>
    <w:bookmarkEnd w:id="6"/>
    <w:p>
      <w:pPr>
        <w:spacing w:after="0" w:line="152" w:lineRule="exact"/>
        <w:rPr>
          <w:sz w:val="20"/>
          <w:szCs w:val="20"/>
          <w:color w:val="auto"/>
        </w:rPr>
      </w:pPr>
    </w:p>
    <w:p>
      <w:pPr>
        <w:ind w:left="360" w:right="366"/>
        <w:spacing w:after="0" w:line="470" w:lineRule="exact"/>
        <w:rPr>
          <w:sz w:val="20"/>
          <w:szCs w:val="20"/>
          <w:color w:val="auto"/>
        </w:rPr>
      </w:pPr>
      <w:r>
        <w:rPr>
          <w:rFonts w:ascii="宋体" w:cs="宋体" w:eastAsia="宋体" w:hAnsi="宋体"/>
          <w:sz w:val="32"/>
          <w:szCs w:val="32"/>
          <w:color w:val="auto"/>
        </w:rPr>
        <w:t>对象和评估范围是否一致，不一致的说明原因，并说明是否经过审计、审计意见类型及审计期间；</w:t>
      </w:r>
    </w:p>
    <w:p>
      <w:pPr>
        <w:spacing w:after="0" w:line="261" w:lineRule="exact"/>
        <w:rPr>
          <w:sz w:val="20"/>
          <w:szCs w:val="20"/>
          <w:color w:val="auto"/>
        </w:rPr>
      </w:pPr>
    </w:p>
    <w:p>
      <w:pPr>
        <w:ind w:left="1000"/>
        <w:spacing w:after="0" w:line="366" w:lineRule="exact"/>
        <w:rPr>
          <w:sz w:val="20"/>
          <w:szCs w:val="20"/>
          <w:color w:val="auto"/>
        </w:rPr>
      </w:pPr>
      <w:r>
        <w:rPr>
          <w:rFonts w:ascii="宋体" w:cs="宋体" w:eastAsia="宋体" w:hAnsi="宋体"/>
          <w:sz w:val="32"/>
          <w:szCs w:val="32"/>
          <w:color w:val="auto"/>
        </w:rPr>
        <w:t>（二）企业表外业务的类型、数量；</w:t>
      </w:r>
    </w:p>
    <w:p>
      <w:pPr>
        <w:spacing w:after="0" w:line="259" w:lineRule="exact"/>
        <w:rPr>
          <w:sz w:val="20"/>
          <w:szCs w:val="20"/>
          <w:color w:val="auto"/>
        </w:rPr>
      </w:pPr>
    </w:p>
    <w:p>
      <w:pPr>
        <w:ind w:left="1000"/>
        <w:spacing w:after="0" w:line="366" w:lineRule="exact"/>
        <w:rPr>
          <w:sz w:val="20"/>
          <w:szCs w:val="20"/>
          <w:color w:val="auto"/>
        </w:rPr>
      </w:pPr>
      <w:r>
        <w:rPr>
          <w:rFonts w:ascii="宋体" w:cs="宋体" w:eastAsia="宋体" w:hAnsi="宋体"/>
          <w:sz w:val="32"/>
          <w:szCs w:val="32"/>
          <w:color w:val="auto"/>
        </w:rPr>
        <w:t>（三）企业的客户资源、营销网络及业务合同等无形资</w:t>
      </w:r>
    </w:p>
    <w:p>
      <w:pPr>
        <w:spacing w:after="0" w:line="259"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产；</w:t>
      </w:r>
    </w:p>
    <w:p>
      <w:pPr>
        <w:spacing w:after="0" w:line="307" w:lineRule="exact"/>
        <w:rPr>
          <w:sz w:val="20"/>
          <w:szCs w:val="20"/>
          <w:color w:val="auto"/>
        </w:rPr>
      </w:pPr>
    </w:p>
    <w:p>
      <w:pPr>
        <w:ind w:left="360" w:right="46" w:firstLine="641"/>
        <w:spacing w:after="0" w:line="470" w:lineRule="exact"/>
        <w:rPr>
          <w:sz w:val="20"/>
          <w:szCs w:val="20"/>
          <w:color w:val="auto"/>
        </w:rPr>
      </w:pPr>
      <w:r>
        <w:rPr>
          <w:rFonts w:ascii="宋体" w:cs="宋体" w:eastAsia="宋体" w:hAnsi="宋体"/>
          <w:sz w:val="32"/>
          <w:szCs w:val="32"/>
          <w:color w:val="auto"/>
        </w:rPr>
        <w:t>（四）引用其他机构出具的报告结论所涉及的资产类型、数量和账面金额（或者评估值）。</w:t>
      </w:r>
    </w:p>
    <w:p>
      <w:pPr>
        <w:spacing w:after="0" w:line="309" w:lineRule="exact"/>
        <w:rPr>
          <w:sz w:val="20"/>
          <w:szCs w:val="20"/>
          <w:color w:val="auto"/>
        </w:rPr>
      </w:pPr>
    </w:p>
    <w:p>
      <w:pPr>
        <w:ind w:left="360" w:right="366" w:firstLine="641"/>
        <w:spacing w:after="0" w:line="470" w:lineRule="exact"/>
        <w:rPr>
          <w:sz w:val="20"/>
          <w:szCs w:val="20"/>
          <w:color w:val="auto"/>
        </w:rPr>
      </w:pPr>
      <w:r>
        <w:rPr>
          <w:rFonts w:ascii="宋体" w:cs="宋体" w:eastAsia="宋体" w:hAnsi="宋体"/>
          <w:sz w:val="32"/>
          <w:szCs w:val="32"/>
          <w:color w:val="auto"/>
        </w:rPr>
        <w:t>单项资产或者资产组合评估，通常需要说明委托评估资产的数量、法律权属状况、经济状况等。</w:t>
      </w:r>
    </w:p>
    <w:p>
      <w:pPr>
        <w:spacing w:after="0" w:line="260" w:lineRule="exact"/>
        <w:rPr>
          <w:sz w:val="20"/>
          <w:szCs w:val="20"/>
          <w:color w:val="auto"/>
        </w:rPr>
      </w:pPr>
    </w:p>
    <w:p>
      <w:pPr>
        <w:ind w:left="1000"/>
        <w:spacing w:after="0" w:line="366" w:lineRule="exact"/>
        <w:tabs>
          <w:tab w:leader="none" w:pos="2620" w:val="left"/>
        </w:tabs>
        <w:rPr>
          <w:sz w:val="20"/>
          <w:szCs w:val="20"/>
          <w:color w:val="auto"/>
        </w:rPr>
      </w:pPr>
      <w:r>
        <w:rPr>
          <w:rFonts w:ascii="宋体" w:cs="宋体" w:eastAsia="宋体" w:hAnsi="宋体"/>
          <w:sz w:val="32"/>
          <w:szCs w:val="32"/>
          <w:b w:val="1"/>
          <w:bCs w:val="1"/>
          <w:color w:val="auto"/>
        </w:rPr>
        <w:t>第十六条</w:t>
      </w:r>
      <w:r>
        <w:rPr>
          <w:sz w:val="20"/>
          <w:szCs w:val="20"/>
          <w:color w:val="auto"/>
        </w:rPr>
        <w:tab/>
      </w:r>
      <w:r>
        <w:rPr>
          <w:rFonts w:ascii="宋体" w:cs="宋体" w:eastAsia="宋体" w:hAnsi="宋体"/>
          <w:sz w:val="32"/>
          <w:szCs w:val="32"/>
          <w:color w:val="auto"/>
        </w:rPr>
        <w:t>资产评估报告应当明确价值类型及其定义。</w:t>
      </w:r>
    </w:p>
    <w:p>
      <w:pPr>
        <w:spacing w:after="0" w:line="259"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选择市场价值以外的价值类型，还应当说明价值类型选择理</w:t>
      </w:r>
    </w:p>
    <w:p>
      <w:pPr>
        <w:spacing w:after="0" w:line="259"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由。</w:t>
      </w:r>
    </w:p>
    <w:p>
      <w:pPr>
        <w:spacing w:after="0" w:line="259" w:lineRule="exact"/>
        <w:rPr>
          <w:sz w:val="20"/>
          <w:szCs w:val="20"/>
          <w:color w:val="auto"/>
        </w:rPr>
      </w:pPr>
    </w:p>
    <w:p>
      <w:pPr>
        <w:ind w:left="1000"/>
        <w:spacing w:after="0" w:line="366" w:lineRule="exact"/>
        <w:tabs>
          <w:tab w:leader="none" w:pos="2580" w:val="left"/>
        </w:tabs>
        <w:rPr>
          <w:sz w:val="20"/>
          <w:szCs w:val="20"/>
          <w:color w:val="auto"/>
        </w:rPr>
      </w:pPr>
      <w:r>
        <w:rPr>
          <w:rFonts w:ascii="宋体" w:cs="宋体" w:eastAsia="宋体" w:hAnsi="宋体"/>
          <w:sz w:val="32"/>
          <w:szCs w:val="32"/>
          <w:b w:val="1"/>
          <w:bCs w:val="1"/>
          <w:color w:val="auto"/>
        </w:rPr>
        <w:t>第十七条</w:t>
      </w:r>
      <w:r>
        <w:rPr>
          <w:sz w:val="20"/>
          <w:szCs w:val="20"/>
          <w:color w:val="auto"/>
        </w:rPr>
        <w:tab/>
      </w:r>
      <w:r>
        <w:rPr>
          <w:rFonts w:ascii="宋体" w:cs="宋体" w:eastAsia="宋体" w:hAnsi="宋体"/>
          <w:sz w:val="32"/>
          <w:szCs w:val="32"/>
          <w:color w:val="auto"/>
        </w:rPr>
        <w:t>资产评估报告应当说明评估基准日及确定</w:t>
      </w:r>
    </w:p>
    <w:p>
      <w:pPr>
        <w:spacing w:after="0" w:line="271" w:lineRule="exact"/>
        <w:rPr>
          <w:sz w:val="20"/>
          <w:szCs w:val="20"/>
          <w:color w:val="auto"/>
        </w:rPr>
      </w:pPr>
    </w:p>
    <w:p>
      <w:pPr>
        <w:jc w:val="center"/>
        <w:ind w:right="6"/>
        <w:spacing w:after="0" w:line="354" w:lineRule="exact"/>
        <w:rPr>
          <w:sz w:val="20"/>
          <w:szCs w:val="20"/>
          <w:color w:val="auto"/>
        </w:rPr>
      </w:pPr>
      <w:r>
        <w:rPr>
          <w:rFonts w:ascii="宋体" w:cs="宋体" w:eastAsia="宋体" w:hAnsi="宋体"/>
          <w:sz w:val="31"/>
          <w:szCs w:val="31"/>
          <w:color w:val="auto"/>
        </w:rPr>
        <w:t>评估基准日所考虑的主要因素。如：经济行为的实现；会计</w:t>
      </w:r>
    </w:p>
    <w:p>
      <w:pPr>
        <w:spacing w:after="0" w:line="259"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期末及国家相关部门制定的监管指标变动情况；利率、汇率</w:t>
      </w:r>
    </w:p>
    <w:p>
      <w:pPr>
        <w:spacing w:after="0" w:line="259"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和金融产品市场价格变化；特定经济行为文件的约束等。</w:t>
      </w:r>
    </w:p>
    <w:p>
      <w:pPr>
        <w:spacing w:after="0" w:line="259" w:lineRule="exact"/>
        <w:rPr>
          <w:sz w:val="20"/>
          <w:szCs w:val="20"/>
          <w:color w:val="auto"/>
        </w:rPr>
      </w:pPr>
    </w:p>
    <w:p>
      <w:pPr>
        <w:ind w:left="1000"/>
        <w:spacing w:after="0" w:line="366" w:lineRule="exact"/>
        <w:tabs>
          <w:tab w:leader="none" w:pos="2580" w:val="left"/>
        </w:tabs>
        <w:rPr>
          <w:sz w:val="20"/>
          <w:szCs w:val="20"/>
          <w:color w:val="auto"/>
        </w:rPr>
      </w:pPr>
      <w:r>
        <w:rPr>
          <w:rFonts w:ascii="宋体" w:cs="宋体" w:eastAsia="宋体" w:hAnsi="宋体"/>
          <w:sz w:val="32"/>
          <w:szCs w:val="32"/>
          <w:b w:val="1"/>
          <w:bCs w:val="1"/>
          <w:color w:val="auto"/>
        </w:rPr>
        <w:t>第十八条</w:t>
      </w:r>
      <w:r>
        <w:rPr>
          <w:sz w:val="20"/>
          <w:szCs w:val="20"/>
          <w:color w:val="auto"/>
        </w:rPr>
        <w:tab/>
      </w:r>
      <w:r>
        <w:rPr>
          <w:rFonts w:ascii="宋体" w:cs="宋体" w:eastAsia="宋体" w:hAnsi="宋体"/>
          <w:sz w:val="32"/>
          <w:szCs w:val="32"/>
          <w:color w:val="auto"/>
        </w:rPr>
        <w:t>资产评估报告应当说明本次评估业务所对</w:t>
      </w:r>
    </w:p>
    <w:p>
      <w:pPr>
        <w:spacing w:after="0" w:line="259"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应的经济行为、法律法规、评估准则、权属、取价等依据：</w:t>
      </w:r>
    </w:p>
    <w:p>
      <w:pPr>
        <w:spacing w:after="0" w:line="259" w:lineRule="exact"/>
        <w:rPr>
          <w:sz w:val="20"/>
          <w:szCs w:val="20"/>
          <w:color w:val="auto"/>
        </w:rPr>
      </w:pPr>
    </w:p>
    <w:p>
      <w:pPr>
        <w:ind w:left="1000"/>
        <w:spacing w:after="0" w:line="366" w:lineRule="exact"/>
        <w:rPr>
          <w:sz w:val="20"/>
          <w:szCs w:val="20"/>
          <w:color w:val="auto"/>
        </w:rPr>
      </w:pPr>
      <w:r>
        <w:rPr>
          <w:rFonts w:ascii="宋体" w:cs="宋体" w:eastAsia="宋体" w:hAnsi="宋体"/>
          <w:sz w:val="32"/>
          <w:szCs w:val="32"/>
          <w:color w:val="auto"/>
        </w:rPr>
        <w:t>（一）经济行为依据应当为有效批复文件以及可以说明</w:t>
      </w:r>
    </w:p>
    <w:p>
      <w:pPr>
        <w:spacing w:after="0" w:line="260"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经济行为及其所涉及的评估对象与评估范围的其他文件资</w:t>
      </w:r>
    </w:p>
    <w:p>
      <w:pPr>
        <w:spacing w:after="0" w:line="259"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料；</w:t>
      </w:r>
    </w:p>
    <w:p>
      <w:pPr>
        <w:spacing w:after="0" w:line="259" w:lineRule="exact"/>
        <w:rPr>
          <w:sz w:val="20"/>
          <w:szCs w:val="20"/>
          <w:color w:val="auto"/>
        </w:rPr>
      </w:pPr>
    </w:p>
    <w:p>
      <w:pPr>
        <w:ind w:left="1000"/>
        <w:spacing w:after="0" w:line="366" w:lineRule="exact"/>
        <w:rPr>
          <w:sz w:val="20"/>
          <w:szCs w:val="20"/>
          <w:color w:val="auto"/>
        </w:rPr>
      </w:pPr>
      <w:r>
        <w:rPr>
          <w:rFonts w:ascii="宋体" w:cs="宋体" w:eastAsia="宋体" w:hAnsi="宋体"/>
          <w:sz w:val="32"/>
          <w:szCs w:val="32"/>
          <w:color w:val="auto"/>
        </w:rPr>
        <w:t>（二）法律法规依据通常包括与金融企业国有资产评估</w:t>
      </w:r>
    </w:p>
    <w:p>
      <w:pPr>
        <w:sectPr>
          <w:pgSz w:w="11900" w:h="16838" w:orient="portrait"/>
          <w:cols w:equalWidth="0" w:num="1">
            <w:col w:w="9026"/>
          </w:cols>
          <w:pgMar w:left="1440" w:top="1440" w:right="1440" w:bottom="1440" w:gutter="0" w:footer="0" w:header="0"/>
        </w:sectPr>
      </w:pPr>
    </w:p>
    <w:bookmarkStart w:id="7" w:name="page8"/>
    <w:bookmarkEnd w:id="7"/>
    <w:p>
      <w:pPr>
        <w:spacing w:after="0" w:line="104"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有关的法律法规等；</w:t>
      </w:r>
    </w:p>
    <w:p>
      <w:pPr>
        <w:spacing w:after="0" w:line="307" w:lineRule="exact"/>
        <w:rPr>
          <w:sz w:val="20"/>
          <w:szCs w:val="20"/>
          <w:color w:val="auto"/>
        </w:rPr>
      </w:pPr>
    </w:p>
    <w:p>
      <w:pPr>
        <w:jc w:val="both"/>
        <w:ind w:left="360" w:right="366" w:firstLine="641"/>
        <w:spacing w:after="0" w:line="470" w:lineRule="exact"/>
        <w:rPr>
          <w:sz w:val="20"/>
          <w:szCs w:val="20"/>
          <w:color w:val="auto"/>
        </w:rPr>
      </w:pPr>
      <w:r>
        <w:rPr>
          <w:rFonts w:ascii="宋体" w:cs="宋体" w:eastAsia="宋体" w:hAnsi="宋体"/>
          <w:sz w:val="32"/>
          <w:szCs w:val="32"/>
          <w:color w:val="auto"/>
        </w:rPr>
        <w:t>（三）评估准则依据包括评估业务中依据的相关资产评估准则和相关规范；</w:t>
      </w:r>
    </w:p>
    <w:p>
      <w:pPr>
        <w:spacing w:after="0" w:line="308" w:lineRule="exact"/>
        <w:rPr>
          <w:sz w:val="20"/>
          <w:szCs w:val="20"/>
          <w:color w:val="auto"/>
        </w:rPr>
      </w:pPr>
    </w:p>
    <w:p>
      <w:pPr>
        <w:jc w:val="both"/>
        <w:ind w:left="360" w:right="366" w:firstLine="641"/>
        <w:spacing w:after="0" w:line="572" w:lineRule="exact"/>
        <w:rPr>
          <w:sz w:val="20"/>
          <w:szCs w:val="20"/>
          <w:color w:val="auto"/>
        </w:rPr>
      </w:pPr>
      <w:r>
        <w:rPr>
          <w:rFonts w:ascii="宋体" w:cs="宋体" w:eastAsia="宋体" w:hAnsi="宋体"/>
          <w:sz w:val="31"/>
          <w:szCs w:val="31"/>
          <w:color w:val="auto"/>
        </w:rPr>
        <w:t>（四）权属依据通常包括国有资产产权登记证书、基准日股份持有证明、出资证明、信贷合同、保险合同、委托理财合同、国有土地使用证（或者国有土地使用权出让合同）、房屋所有权证、房地产权证（或者不动产权证书）、专利证书、商标注册证、著作权（版权）相关权属证明、机动车行驶证、抵债合同、抵押登记资料等其他权属证明文件；</w:t>
      </w:r>
    </w:p>
    <w:p>
      <w:pPr>
        <w:spacing w:after="0" w:line="315" w:lineRule="exact"/>
        <w:rPr>
          <w:sz w:val="20"/>
          <w:szCs w:val="20"/>
          <w:color w:val="auto"/>
        </w:rPr>
      </w:pPr>
    </w:p>
    <w:p>
      <w:pPr>
        <w:jc w:val="both"/>
        <w:ind w:left="360" w:right="366" w:firstLine="641"/>
        <w:spacing w:after="0" w:line="522" w:lineRule="exact"/>
        <w:rPr>
          <w:sz w:val="20"/>
          <w:szCs w:val="20"/>
          <w:color w:val="auto"/>
        </w:rPr>
      </w:pPr>
      <w:r>
        <w:rPr>
          <w:rFonts w:ascii="宋体" w:cs="宋体" w:eastAsia="宋体" w:hAnsi="宋体"/>
          <w:sz w:val="32"/>
          <w:szCs w:val="32"/>
          <w:color w:val="auto"/>
        </w:rPr>
        <w:t>（五）取价依据通常包括企业提供的财务会计、经营方面的资料，国家有关部门发布的统计资料、技术标准和政策文件，以及评估机构收集的资本市场资料等。</w:t>
      </w:r>
    </w:p>
    <w:p>
      <w:pPr>
        <w:spacing w:after="0" w:line="259" w:lineRule="exact"/>
        <w:rPr>
          <w:sz w:val="20"/>
          <w:szCs w:val="20"/>
          <w:color w:val="auto"/>
        </w:rPr>
      </w:pPr>
    </w:p>
    <w:p>
      <w:pPr>
        <w:ind w:left="1000"/>
        <w:spacing w:after="0" w:line="366" w:lineRule="exact"/>
        <w:tabs>
          <w:tab w:leader="none" w:pos="2580" w:val="left"/>
        </w:tabs>
        <w:rPr>
          <w:sz w:val="20"/>
          <w:szCs w:val="20"/>
          <w:color w:val="auto"/>
        </w:rPr>
      </w:pPr>
      <w:r>
        <w:rPr>
          <w:rFonts w:ascii="宋体" w:cs="宋体" w:eastAsia="宋体" w:hAnsi="宋体"/>
          <w:sz w:val="32"/>
          <w:szCs w:val="32"/>
          <w:b w:val="1"/>
          <w:bCs w:val="1"/>
          <w:color w:val="auto"/>
        </w:rPr>
        <w:t>第十九条</w:t>
      </w:r>
      <w:r>
        <w:rPr>
          <w:sz w:val="20"/>
          <w:szCs w:val="20"/>
          <w:color w:val="auto"/>
        </w:rPr>
        <w:tab/>
      </w:r>
      <w:r>
        <w:rPr>
          <w:rFonts w:ascii="宋体" w:cs="宋体" w:eastAsia="宋体" w:hAnsi="宋体"/>
          <w:sz w:val="32"/>
          <w:szCs w:val="32"/>
          <w:color w:val="auto"/>
        </w:rPr>
        <w:t>资产评估报告应当说明所选用的评估方法</w:t>
      </w:r>
    </w:p>
    <w:p>
      <w:pPr>
        <w:spacing w:after="0" w:line="259"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及其理由。</w:t>
      </w:r>
    </w:p>
    <w:p>
      <w:pPr>
        <w:spacing w:after="0" w:line="259" w:lineRule="exact"/>
        <w:rPr>
          <w:sz w:val="20"/>
          <w:szCs w:val="20"/>
          <w:color w:val="auto"/>
        </w:rPr>
      </w:pPr>
    </w:p>
    <w:p>
      <w:pPr>
        <w:ind w:left="1000"/>
        <w:spacing w:after="0" w:line="366" w:lineRule="exact"/>
        <w:rPr>
          <w:sz w:val="20"/>
          <w:szCs w:val="20"/>
          <w:color w:val="auto"/>
        </w:rPr>
      </w:pPr>
      <w:r>
        <w:rPr>
          <w:rFonts w:ascii="宋体" w:cs="宋体" w:eastAsia="宋体" w:hAnsi="宋体"/>
          <w:sz w:val="32"/>
          <w:szCs w:val="32"/>
          <w:color w:val="auto"/>
        </w:rPr>
        <w:t>未采用两种以上评估方法进行评估，资产评估报告应当</w:t>
      </w:r>
    </w:p>
    <w:p>
      <w:pPr>
        <w:spacing w:after="0" w:line="259"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披露其他基本评估方法不适用的原因或者所受的操作限制。</w:t>
      </w:r>
    </w:p>
    <w:p>
      <w:pPr>
        <w:spacing w:after="0" w:line="259" w:lineRule="exact"/>
        <w:rPr>
          <w:sz w:val="20"/>
          <w:szCs w:val="20"/>
          <w:color w:val="auto"/>
        </w:rPr>
      </w:pPr>
    </w:p>
    <w:p>
      <w:pPr>
        <w:ind w:left="1000"/>
        <w:spacing w:after="0" w:line="366" w:lineRule="exact"/>
        <w:rPr>
          <w:sz w:val="20"/>
          <w:szCs w:val="20"/>
          <w:color w:val="auto"/>
        </w:rPr>
      </w:pPr>
      <w:r>
        <w:rPr>
          <w:rFonts w:ascii="宋体" w:cs="宋体" w:eastAsia="宋体" w:hAnsi="宋体"/>
          <w:sz w:val="32"/>
          <w:szCs w:val="32"/>
          <w:color w:val="auto"/>
        </w:rPr>
        <w:t>采用收益法、市场法评估的，应当对评估过程及主要参</w:t>
      </w:r>
    </w:p>
    <w:p>
      <w:pPr>
        <w:spacing w:after="0" w:line="259"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数的选取进行说明。</w:t>
      </w:r>
    </w:p>
    <w:p>
      <w:pPr>
        <w:spacing w:after="0" w:line="259" w:lineRule="exact"/>
        <w:rPr>
          <w:sz w:val="20"/>
          <w:szCs w:val="20"/>
          <w:color w:val="auto"/>
        </w:rPr>
      </w:pPr>
    </w:p>
    <w:p>
      <w:pPr>
        <w:ind w:left="1000"/>
        <w:spacing w:after="0" w:line="366" w:lineRule="exact"/>
        <w:rPr>
          <w:sz w:val="20"/>
          <w:szCs w:val="20"/>
          <w:color w:val="auto"/>
        </w:rPr>
      </w:pPr>
      <w:r>
        <w:rPr>
          <w:rFonts w:ascii="宋体" w:cs="宋体" w:eastAsia="宋体" w:hAnsi="宋体"/>
          <w:sz w:val="32"/>
          <w:szCs w:val="32"/>
          <w:color w:val="auto"/>
        </w:rPr>
        <w:t>采用资产基础法或者成本法评估的，应当对主要资产及</w:t>
      </w:r>
    </w:p>
    <w:p>
      <w:pPr>
        <w:spacing w:after="0" w:line="260"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负债的评估方法进行说明。</w:t>
      </w:r>
    </w:p>
    <w:p>
      <w:pPr>
        <w:spacing w:after="0" w:line="259" w:lineRule="exact"/>
        <w:rPr>
          <w:sz w:val="20"/>
          <w:szCs w:val="20"/>
          <w:color w:val="auto"/>
        </w:rPr>
      </w:pPr>
    </w:p>
    <w:p>
      <w:pPr>
        <w:ind w:left="1000"/>
        <w:spacing w:after="0" w:line="366" w:lineRule="exact"/>
        <w:rPr>
          <w:sz w:val="20"/>
          <w:szCs w:val="20"/>
          <w:color w:val="auto"/>
        </w:rPr>
      </w:pPr>
      <w:r>
        <w:rPr>
          <w:rFonts w:ascii="宋体" w:cs="宋体" w:eastAsia="宋体" w:hAnsi="宋体"/>
          <w:sz w:val="32"/>
          <w:szCs w:val="32"/>
          <w:color w:val="auto"/>
        </w:rPr>
        <w:t>采用两种以上方法进行企业价值评估的，还应当说明评</w:t>
      </w:r>
    </w:p>
    <w:p>
      <w:pPr>
        <w:spacing w:after="0" w:line="259"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估结论确定的方法。</w:t>
      </w:r>
    </w:p>
    <w:p>
      <w:pPr>
        <w:sectPr>
          <w:pgSz w:w="11900" w:h="16838" w:orient="portrait"/>
          <w:cols w:equalWidth="0" w:num="1">
            <w:col w:w="9026"/>
          </w:cols>
          <w:pgMar w:left="1440" w:top="1440" w:right="1440" w:bottom="1440" w:gutter="0" w:footer="0" w:header="0"/>
        </w:sectPr>
      </w:pPr>
    </w:p>
    <w:bookmarkStart w:id="8" w:name="page9"/>
    <w:bookmarkEnd w:id="8"/>
    <w:p>
      <w:pPr>
        <w:spacing w:after="0" w:line="104" w:lineRule="exact"/>
        <w:rPr>
          <w:sz w:val="20"/>
          <w:szCs w:val="20"/>
          <w:color w:val="auto"/>
        </w:rPr>
      </w:pPr>
    </w:p>
    <w:p>
      <w:pPr>
        <w:ind w:left="1000"/>
        <w:spacing w:after="0" w:line="366" w:lineRule="exact"/>
        <w:tabs>
          <w:tab w:leader="none" w:pos="2580" w:val="left"/>
        </w:tabs>
        <w:rPr>
          <w:sz w:val="20"/>
          <w:szCs w:val="20"/>
          <w:color w:val="auto"/>
        </w:rPr>
      </w:pPr>
      <w:r>
        <w:rPr>
          <w:rFonts w:ascii="宋体" w:cs="宋体" w:eastAsia="宋体" w:hAnsi="宋体"/>
          <w:sz w:val="32"/>
          <w:szCs w:val="32"/>
          <w:b w:val="1"/>
          <w:bCs w:val="1"/>
          <w:color w:val="auto"/>
        </w:rPr>
        <w:t>第二十条</w:t>
      </w:r>
      <w:r>
        <w:rPr>
          <w:sz w:val="20"/>
          <w:szCs w:val="20"/>
          <w:color w:val="auto"/>
        </w:rPr>
        <w:tab/>
      </w:r>
      <w:r>
        <w:rPr>
          <w:rFonts w:ascii="宋体" w:cs="宋体" w:eastAsia="宋体" w:hAnsi="宋体"/>
          <w:sz w:val="32"/>
          <w:szCs w:val="32"/>
          <w:color w:val="auto"/>
        </w:rPr>
        <w:t>资产评估报告应当说明自接受资产评估业</w:t>
      </w:r>
    </w:p>
    <w:p>
      <w:pPr>
        <w:spacing w:after="0" w:line="259"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务委托起至出具资产评估报告的主要评估工作过程，一般包</w:t>
      </w:r>
    </w:p>
    <w:p>
      <w:pPr>
        <w:spacing w:after="0" w:line="259"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括以下内容：</w:t>
      </w:r>
    </w:p>
    <w:p>
      <w:pPr>
        <w:spacing w:after="0" w:line="259" w:lineRule="exact"/>
        <w:rPr>
          <w:sz w:val="20"/>
          <w:szCs w:val="20"/>
          <w:color w:val="auto"/>
        </w:rPr>
      </w:pPr>
    </w:p>
    <w:p>
      <w:pPr>
        <w:ind w:left="1000"/>
        <w:spacing w:after="0" w:line="366" w:lineRule="exact"/>
        <w:rPr>
          <w:sz w:val="20"/>
          <w:szCs w:val="20"/>
          <w:color w:val="auto"/>
        </w:rPr>
      </w:pPr>
      <w:r>
        <w:rPr>
          <w:rFonts w:ascii="宋体" w:cs="宋体" w:eastAsia="宋体" w:hAnsi="宋体"/>
          <w:sz w:val="32"/>
          <w:szCs w:val="32"/>
          <w:color w:val="auto"/>
        </w:rPr>
        <w:t>（一）接受项目委托，确定评估目的、评估对象与评估</w:t>
      </w:r>
    </w:p>
    <w:p>
      <w:pPr>
        <w:spacing w:after="0" w:line="259"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范围、评估基准日，拟定评估计划等过程；</w:t>
      </w:r>
    </w:p>
    <w:p>
      <w:pPr>
        <w:spacing w:after="0" w:line="259" w:lineRule="exact"/>
        <w:rPr>
          <w:sz w:val="20"/>
          <w:szCs w:val="20"/>
          <w:color w:val="auto"/>
        </w:rPr>
      </w:pPr>
    </w:p>
    <w:p>
      <w:pPr>
        <w:ind w:left="1000"/>
        <w:spacing w:after="0" w:line="366" w:lineRule="exact"/>
        <w:rPr>
          <w:sz w:val="20"/>
          <w:szCs w:val="20"/>
          <w:color w:val="auto"/>
        </w:rPr>
      </w:pPr>
      <w:r>
        <w:rPr>
          <w:rFonts w:ascii="宋体" w:cs="宋体" w:eastAsia="宋体" w:hAnsi="宋体"/>
          <w:sz w:val="32"/>
          <w:szCs w:val="32"/>
          <w:color w:val="auto"/>
        </w:rPr>
        <w:t>（二）指导被评估单位清查资产、准备评估资料，核实</w:t>
      </w:r>
    </w:p>
    <w:p>
      <w:pPr>
        <w:spacing w:after="0" w:line="259"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资产与验证资料等过程；</w:t>
      </w:r>
    </w:p>
    <w:p>
      <w:pPr>
        <w:spacing w:after="0" w:line="260" w:lineRule="exact"/>
        <w:rPr>
          <w:sz w:val="20"/>
          <w:szCs w:val="20"/>
          <w:color w:val="auto"/>
        </w:rPr>
      </w:pPr>
    </w:p>
    <w:p>
      <w:pPr>
        <w:ind w:left="1000"/>
        <w:spacing w:after="0" w:line="366" w:lineRule="exact"/>
        <w:rPr>
          <w:sz w:val="20"/>
          <w:szCs w:val="20"/>
          <w:color w:val="auto"/>
        </w:rPr>
      </w:pPr>
      <w:r>
        <w:rPr>
          <w:rFonts w:ascii="宋体" w:cs="宋体" w:eastAsia="宋体" w:hAnsi="宋体"/>
          <w:sz w:val="32"/>
          <w:szCs w:val="32"/>
          <w:color w:val="auto"/>
        </w:rPr>
        <w:t>（三）选择评估方法、收集市场信息和估算等过程；</w:t>
      </w:r>
    </w:p>
    <w:p>
      <w:pPr>
        <w:spacing w:after="0" w:line="259" w:lineRule="exact"/>
        <w:rPr>
          <w:sz w:val="20"/>
          <w:szCs w:val="20"/>
          <w:color w:val="auto"/>
        </w:rPr>
      </w:pPr>
    </w:p>
    <w:p>
      <w:pPr>
        <w:ind w:left="1000"/>
        <w:spacing w:after="0" w:line="366" w:lineRule="exact"/>
        <w:rPr>
          <w:sz w:val="20"/>
          <w:szCs w:val="20"/>
          <w:color w:val="auto"/>
        </w:rPr>
      </w:pPr>
      <w:r>
        <w:rPr>
          <w:rFonts w:ascii="宋体" w:cs="宋体" w:eastAsia="宋体" w:hAnsi="宋体"/>
          <w:sz w:val="32"/>
          <w:szCs w:val="32"/>
          <w:color w:val="auto"/>
        </w:rPr>
        <w:t>（四）评估结果汇总、评估结论分析、撰写资产评估报</w:t>
      </w:r>
    </w:p>
    <w:p>
      <w:pPr>
        <w:spacing w:after="0" w:line="259"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告和内部审核等过程。</w:t>
      </w:r>
    </w:p>
    <w:p>
      <w:pPr>
        <w:spacing w:after="0" w:line="259" w:lineRule="exact"/>
        <w:rPr>
          <w:sz w:val="20"/>
          <w:szCs w:val="20"/>
          <w:color w:val="auto"/>
        </w:rPr>
      </w:pPr>
    </w:p>
    <w:p>
      <w:pPr>
        <w:ind w:left="1000"/>
        <w:spacing w:after="0" w:line="366" w:lineRule="exact"/>
        <w:tabs>
          <w:tab w:leader="none" w:pos="2920" w:val="left"/>
        </w:tabs>
        <w:rPr>
          <w:sz w:val="20"/>
          <w:szCs w:val="20"/>
          <w:color w:val="auto"/>
        </w:rPr>
      </w:pPr>
      <w:r>
        <w:rPr>
          <w:rFonts w:ascii="宋体" w:cs="宋体" w:eastAsia="宋体" w:hAnsi="宋体"/>
          <w:sz w:val="32"/>
          <w:szCs w:val="32"/>
          <w:b w:val="1"/>
          <w:bCs w:val="1"/>
          <w:color w:val="auto"/>
        </w:rPr>
        <w:t>第二十一条</w:t>
      </w:r>
      <w:r>
        <w:rPr>
          <w:sz w:val="20"/>
          <w:szCs w:val="20"/>
          <w:color w:val="auto"/>
        </w:rPr>
        <w:tab/>
      </w:r>
      <w:r>
        <w:rPr>
          <w:rFonts w:ascii="宋体" w:cs="宋体" w:eastAsia="宋体" w:hAnsi="宋体"/>
          <w:sz w:val="32"/>
          <w:szCs w:val="32"/>
          <w:color w:val="auto"/>
        </w:rPr>
        <w:t>资产评估报告应当说明资产评估所使用</w:t>
      </w:r>
    </w:p>
    <w:p>
      <w:pPr>
        <w:spacing w:after="0" w:line="259"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的假设。</w:t>
      </w:r>
    </w:p>
    <w:p>
      <w:pPr>
        <w:spacing w:after="0" w:line="259" w:lineRule="exact"/>
        <w:rPr>
          <w:sz w:val="20"/>
          <w:szCs w:val="20"/>
          <w:color w:val="auto"/>
        </w:rPr>
      </w:pPr>
    </w:p>
    <w:p>
      <w:pPr>
        <w:ind w:left="1000"/>
        <w:spacing w:after="0" w:line="366" w:lineRule="exact"/>
        <w:tabs>
          <w:tab w:leader="none" w:pos="2920" w:val="left"/>
        </w:tabs>
        <w:rPr>
          <w:sz w:val="20"/>
          <w:szCs w:val="20"/>
          <w:color w:val="auto"/>
        </w:rPr>
      </w:pPr>
      <w:r>
        <w:rPr>
          <w:rFonts w:ascii="宋体" w:cs="宋体" w:eastAsia="宋体" w:hAnsi="宋体"/>
          <w:sz w:val="32"/>
          <w:szCs w:val="32"/>
          <w:b w:val="1"/>
          <w:bCs w:val="1"/>
          <w:color w:val="auto"/>
        </w:rPr>
        <w:t>第二十二条</w:t>
      </w:r>
      <w:r>
        <w:rPr>
          <w:sz w:val="20"/>
          <w:szCs w:val="20"/>
          <w:color w:val="auto"/>
        </w:rPr>
        <w:tab/>
      </w:r>
      <w:r>
        <w:rPr>
          <w:rFonts w:ascii="宋体" w:cs="宋体" w:eastAsia="宋体" w:hAnsi="宋体"/>
          <w:sz w:val="32"/>
          <w:szCs w:val="32"/>
          <w:color w:val="auto"/>
        </w:rPr>
        <w:t>资产评估报告应当以文字和数字形式清</w:t>
      </w:r>
    </w:p>
    <w:p>
      <w:pPr>
        <w:spacing w:after="0" w:line="271" w:lineRule="exact"/>
        <w:rPr>
          <w:sz w:val="20"/>
          <w:szCs w:val="20"/>
          <w:color w:val="auto"/>
        </w:rPr>
      </w:pPr>
    </w:p>
    <w:p>
      <w:pPr>
        <w:jc w:val="center"/>
        <w:ind w:right="6"/>
        <w:spacing w:after="0" w:line="354" w:lineRule="exact"/>
        <w:rPr>
          <w:sz w:val="20"/>
          <w:szCs w:val="20"/>
          <w:color w:val="auto"/>
        </w:rPr>
      </w:pPr>
      <w:r>
        <w:rPr>
          <w:rFonts w:ascii="宋体" w:cs="宋体" w:eastAsia="宋体" w:hAnsi="宋体"/>
          <w:sz w:val="31"/>
          <w:szCs w:val="31"/>
          <w:color w:val="auto"/>
        </w:rPr>
        <w:t>晰说明评估结论，并明确评估结论的使用有效期。评估结论</w:t>
      </w:r>
    </w:p>
    <w:p>
      <w:pPr>
        <w:spacing w:after="0" w:line="259"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通常是确定的数值。特殊经济行为的评估结论也可以用区间</w:t>
      </w:r>
    </w:p>
    <w:p>
      <w:pPr>
        <w:spacing w:after="0" w:line="259"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值表达：</w:t>
      </w:r>
    </w:p>
    <w:p>
      <w:pPr>
        <w:spacing w:after="0" w:line="259" w:lineRule="exact"/>
        <w:rPr>
          <w:sz w:val="20"/>
          <w:szCs w:val="20"/>
          <w:color w:val="auto"/>
        </w:rPr>
      </w:pPr>
    </w:p>
    <w:p>
      <w:pPr>
        <w:ind w:left="1000"/>
        <w:spacing w:after="0" w:line="366" w:lineRule="exact"/>
        <w:rPr>
          <w:sz w:val="20"/>
          <w:szCs w:val="20"/>
          <w:color w:val="auto"/>
        </w:rPr>
      </w:pPr>
      <w:r>
        <w:rPr>
          <w:rFonts w:ascii="宋体" w:cs="宋体" w:eastAsia="宋体" w:hAnsi="宋体"/>
          <w:sz w:val="32"/>
          <w:szCs w:val="32"/>
          <w:color w:val="auto"/>
        </w:rPr>
        <w:t>（一）采用资产基础法进行企业价值评估，应当以文字</w:t>
      </w:r>
    </w:p>
    <w:p>
      <w:pPr>
        <w:spacing w:after="0" w:line="259"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形式说明资产、负债、所有者权益（净资产）的账面价值、</w:t>
      </w:r>
    </w:p>
    <w:p>
      <w:pPr>
        <w:spacing w:after="0" w:line="259"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评估价值及其增减幅度，并同时采用评估结果汇总表反映评</w:t>
      </w:r>
    </w:p>
    <w:p>
      <w:pPr>
        <w:spacing w:after="0" w:line="260"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估结论；</w:t>
      </w:r>
    </w:p>
    <w:p>
      <w:pPr>
        <w:spacing w:after="0" w:line="259" w:lineRule="exact"/>
        <w:rPr>
          <w:sz w:val="20"/>
          <w:szCs w:val="20"/>
          <w:color w:val="auto"/>
        </w:rPr>
      </w:pPr>
    </w:p>
    <w:p>
      <w:pPr>
        <w:ind w:left="1000"/>
        <w:spacing w:after="0" w:line="366" w:lineRule="exact"/>
        <w:rPr>
          <w:sz w:val="20"/>
          <w:szCs w:val="20"/>
          <w:color w:val="auto"/>
        </w:rPr>
      </w:pPr>
      <w:r>
        <w:rPr>
          <w:rFonts w:ascii="宋体" w:cs="宋体" w:eastAsia="宋体" w:hAnsi="宋体"/>
          <w:sz w:val="32"/>
          <w:szCs w:val="32"/>
          <w:color w:val="auto"/>
        </w:rPr>
        <w:t>（二）单项资产或者资产组合评估，应当以文字形式说</w:t>
      </w:r>
    </w:p>
    <w:p>
      <w:pPr>
        <w:spacing w:after="0" w:line="259"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明账面价值、评估价值及其增减幅度；</w:t>
      </w:r>
    </w:p>
    <w:p>
      <w:pPr>
        <w:sectPr>
          <w:pgSz w:w="11900" w:h="16838" w:orient="portrait"/>
          <w:cols w:equalWidth="0" w:num="1">
            <w:col w:w="9026"/>
          </w:cols>
          <w:pgMar w:left="1440" w:top="1440" w:right="1440" w:bottom="1440" w:gutter="0" w:footer="0" w:header="0"/>
        </w:sectPr>
      </w:pPr>
    </w:p>
    <w:bookmarkStart w:id="9" w:name="page10"/>
    <w:bookmarkEnd w:id="9"/>
    <w:p>
      <w:pPr>
        <w:spacing w:after="0" w:line="115" w:lineRule="exact"/>
        <w:rPr>
          <w:sz w:val="20"/>
          <w:szCs w:val="20"/>
          <w:color w:val="auto"/>
        </w:rPr>
      </w:pPr>
    </w:p>
    <w:p>
      <w:pPr>
        <w:ind w:left="1000"/>
        <w:spacing w:after="0" w:line="354" w:lineRule="exact"/>
        <w:rPr>
          <w:sz w:val="20"/>
          <w:szCs w:val="20"/>
          <w:color w:val="auto"/>
        </w:rPr>
      </w:pPr>
      <w:r>
        <w:rPr>
          <w:rFonts w:ascii="宋体" w:cs="宋体" w:eastAsia="宋体" w:hAnsi="宋体"/>
          <w:sz w:val="31"/>
          <w:szCs w:val="31"/>
          <w:color w:val="auto"/>
        </w:rPr>
        <w:t>（三）采用两种以上方法进行企业价值评估，除单独说</w:t>
      </w:r>
    </w:p>
    <w:p>
      <w:pPr>
        <w:spacing w:after="0" w:line="271" w:lineRule="exact"/>
        <w:rPr>
          <w:sz w:val="20"/>
          <w:szCs w:val="20"/>
          <w:color w:val="auto"/>
        </w:rPr>
      </w:pPr>
    </w:p>
    <w:p>
      <w:pPr>
        <w:ind w:left="360"/>
        <w:spacing w:after="0" w:line="354" w:lineRule="exact"/>
        <w:rPr>
          <w:sz w:val="20"/>
          <w:szCs w:val="20"/>
          <w:color w:val="auto"/>
        </w:rPr>
      </w:pPr>
      <w:r>
        <w:rPr>
          <w:rFonts w:ascii="宋体" w:cs="宋体" w:eastAsia="宋体" w:hAnsi="宋体"/>
          <w:sz w:val="31"/>
          <w:szCs w:val="31"/>
          <w:color w:val="auto"/>
        </w:rPr>
        <w:t>明评估价值和增减幅度外，应当说明两种以上评估方法结论</w:t>
      </w:r>
    </w:p>
    <w:p>
      <w:pPr>
        <w:spacing w:after="0" w:line="259"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的差异及其原因和最终确定的评估结论及其理由；</w:t>
      </w:r>
    </w:p>
    <w:p>
      <w:pPr>
        <w:spacing w:after="0" w:line="270" w:lineRule="exact"/>
        <w:rPr>
          <w:sz w:val="20"/>
          <w:szCs w:val="20"/>
          <w:color w:val="auto"/>
        </w:rPr>
      </w:pPr>
    </w:p>
    <w:p>
      <w:pPr>
        <w:ind w:left="1000"/>
        <w:spacing w:after="0" w:line="354" w:lineRule="exact"/>
        <w:rPr>
          <w:sz w:val="20"/>
          <w:szCs w:val="20"/>
          <w:color w:val="auto"/>
        </w:rPr>
      </w:pPr>
      <w:r>
        <w:rPr>
          <w:rFonts w:ascii="宋体" w:cs="宋体" w:eastAsia="宋体" w:hAnsi="宋体"/>
          <w:sz w:val="31"/>
          <w:szCs w:val="31"/>
          <w:color w:val="auto"/>
        </w:rPr>
        <w:t>（四）存在多家被评估单位的项目，应当分别说明各单</w:t>
      </w:r>
    </w:p>
    <w:p>
      <w:pPr>
        <w:spacing w:after="0" w:line="259"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位的评估价值；</w:t>
      </w:r>
    </w:p>
    <w:p>
      <w:pPr>
        <w:spacing w:after="0" w:line="270" w:lineRule="exact"/>
        <w:rPr>
          <w:sz w:val="20"/>
          <w:szCs w:val="20"/>
          <w:color w:val="auto"/>
        </w:rPr>
      </w:pPr>
    </w:p>
    <w:p>
      <w:pPr>
        <w:ind w:left="1000"/>
        <w:spacing w:after="0" w:line="354" w:lineRule="exact"/>
        <w:rPr>
          <w:sz w:val="20"/>
          <w:szCs w:val="20"/>
          <w:color w:val="auto"/>
        </w:rPr>
      </w:pPr>
      <w:r>
        <w:rPr>
          <w:rFonts w:ascii="宋体" w:cs="宋体" w:eastAsia="宋体" w:hAnsi="宋体"/>
          <w:sz w:val="31"/>
          <w:szCs w:val="31"/>
          <w:color w:val="auto"/>
        </w:rPr>
        <w:t>（五）特殊情况下，在与经济行为相匹配的前提下，评</w:t>
      </w:r>
    </w:p>
    <w:p>
      <w:pPr>
        <w:spacing w:after="0" w:line="270" w:lineRule="exact"/>
        <w:rPr>
          <w:sz w:val="20"/>
          <w:szCs w:val="20"/>
          <w:color w:val="auto"/>
        </w:rPr>
      </w:pPr>
    </w:p>
    <w:p>
      <w:pPr>
        <w:ind w:left="360"/>
        <w:spacing w:after="0" w:line="354" w:lineRule="exact"/>
        <w:rPr>
          <w:sz w:val="20"/>
          <w:szCs w:val="20"/>
          <w:color w:val="auto"/>
        </w:rPr>
      </w:pPr>
      <w:r>
        <w:rPr>
          <w:rFonts w:ascii="宋体" w:cs="宋体" w:eastAsia="宋体" w:hAnsi="宋体"/>
          <w:sz w:val="31"/>
          <w:szCs w:val="31"/>
          <w:color w:val="auto"/>
        </w:rPr>
        <w:t>估结论可以用区间值表示，同时给出确定数值评估结论的建</w:t>
      </w:r>
    </w:p>
    <w:p>
      <w:pPr>
        <w:spacing w:after="0" w:line="260"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议。</w:t>
      </w:r>
    </w:p>
    <w:p>
      <w:pPr>
        <w:spacing w:after="0" w:line="307" w:lineRule="exact"/>
        <w:rPr>
          <w:sz w:val="20"/>
          <w:szCs w:val="20"/>
          <w:color w:val="auto"/>
        </w:rPr>
      </w:pPr>
    </w:p>
    <w:p>
      <w:pPr>
        <w:ind w:left="360" w:right="366" w:firstLine="643"/>
        <w:spacing w:after="0" w:line="522" w:lineRule="exact"/>
        <w:rPr>
          <w:sz w:val="20"/>
          <w:szCs w:val="20"/>
          <w:color w:val="auto"/>
        </w:rPr>
      </w:pPr>
      <w:r>
        <w:rPr>
          <w:rFonts w:ascii="宋体" w:cs="宋体" w:eastAsia="宋体" w:hAnsi="宋体"/>
          <w:sz w:val="32"/>
          <w:szCs w:val="32"/>
          <w:b w:val="1"/>
          <w:bCs w:val="1"/>
          <w:color w:val="auto"/>
        </w:rPr>
        <w:t xml:space="preserve">第二十三条 </w:t>
      </w:r>
      <w:r>
        <w:rPr>
          <w:rFonts w:ascii="宋体" w:cs="宋体" w:eastAsia="宋体" w:hAnsi="宋体"/>
          <w:sz w:val="32"/>
          <w:szCs w:val="32"/>
          <w:color w:val="auto"/>
        </w:rPr>
        <w:t>资产评估报告应当说明评估程序受到的限制、评估特殊处理、评估结论瑕疵以及期后事项等特别事项，通常包括下列内容：</w:t>
      </w:r>
    </w:p>
    <w:p>
      <w:pPr>
        <w:spacing w:after="0" w:line="307" w:lineRule="exact"/>
        <w:rPr>
          <w:sz w:val="20"/>
          <w:szCs w:val="20"/>
          <w:color w:val="auto"/>
        </w:rPr>
      </w:pPr>
    </w:p>
    <w:p>
      <w:pPr>
        <w:ind w:left="360" w:right="366" w:firstLine="641"/>
        <w:spacing w:after="0" w:line="470" w:lineRule="exact"/>
        <w:rPr>
          <w:sz w:val="20"/>
          <w:szCs w:val="20"/>
          <w:color w:val="auto"/>
        </w:rPr>
      </w:pPr>
      <w:r>
        <w:rPr>
          <w:rFonts w:ascii="宋体" w:cs="宋体" w:eastAsia="宋体" w:hAnsi="宋体"/>
          <w:sz w:val="32"/>
          <w:szCs w:val="32"/>
          <w:color w:val="auto"/>
        </w:rPr>
        <w:t>（一）引用其他机构出具的报告结论情况，并说明承担引用不当的相关责任；</w:t>
      </w:r>
    </w:p>
    <w:p>
      <w:pPr>
        <w:spacing w:after="0" w:line="309" w:lineRule="exact"/>
        <w:rPr>
          <w:sz w:val="20"/>
          <w:szCs w:val="20"/>
          <w:color w:val="auto"/>
        </w:rPr>
      </w:pPr>
    </w:p>
    <w:p>
      <w:pPr>
        <w:ind w:left="360" w:right="366" w:firstLine="641"/>
        <w:spacing w:after="0" w:line="470" w:lineRule="exact"/>
        <w:rPr>
          <w:sz w:val="20"/>
          <w:szCs w:val="20"/>
          <w:color w:val="auto"/>
        </w:rPr>
      </w:pPr>
      <w:r>
        <w:rPr>
          <w:rFonts w:ascii="宋体" w:cs="宋体" w:eastAsia="宋体" w:hAnsi="宋体"/>
          <w:sz w:val="32"/>
          <w:szCs w:val="32"/>
          <w:color w:val="auto"/>
        </w:rPr>
        <w:t>（二）因权属资料不全面或者存在瑕疵、评估资料不完整等使评估程序受到限制的情形；</w:t>
      </w:r>
    </w:p>
    <w:p>
      <w:pPr>
        <w:spacing w:after="0" w:line="260" w:lineRule="exact"/>
        <w:rPr>
          <w:sz w:val="20"/>
          <w:szCs w:val="20"/>
          <w:color w:val="auto"/>
        </w:rPr>
      </w:pPr>
    </w:p>
    <w:p>
      <w:pPr>
        <w:ind w:left="1000"/>
        <w:spacing w:after="0" w:line="366" w:lineRule="exact"/>
        <w:rPr>
          <w:sz w:val="20"/>
          <w:szCs w:val="20"/>
          <w:color w:val="auto"/>
        </w:rPr>
      </w:pPr>
      <w:r>
        <w:rPr>
          <w:rFonts w:ascii="宋体" w:cs="宋体" w:eastAsia="宋体" w:hAnsi="宋体"/>
          <w:sz w:val="32"/>
          <w:szCs w:val="32"/>
          <w:color w:val="auto"/>
        </w:rPr>
        <w:t>（三）评估基准日存在的法律、经济等未决事项；</w:t>
      </w:r>
    </w:p>
    <w:p>
      <w:pPr>
        <w:spacing w:after="0" w:line="307" w:lineRule="exact"/>
        <w:rPr>
          <w:sz w:val="20"/>
          <w:szCs w:val="20"/>
          <w:color w:val="auto"/>
        </w:rPr>
      </w:pPr>
    </w:p>
    <w:p>
      <w:pPr>
        <w:ind w:left="360" w:right="366" w:firstLine="641"/>
        <w:spacing w:after="0" w:line="470" w:lineRule="exact"/>
        <w:rPr>
          <w:sz w:val="20"/>
          <w:szCs w:val="20"/>
          <w:color w:val="auto"/>
        </w:rPr>
      </w:pPr>
      <w:r>
        <w:rPr>
          <w:rFonts w:ascii="宋体" w:cs="宋体" w:eastAsia="宋体" w:hAnsi="宋体"/>
          <w:sz w:val="32"/>
          <w:szCs w:val="32"/>
          <w:color w:val="auto"/>
        </w:rPr>
        <w:t>（四）或有负债（或有资产）的性质、金额及与评估对象的关系；</w:t>
      </w:r>
    </w:p>
    <w:p>
      <w:pPr>
        <w:spacing w:after="0" w:line="308" w:lineRule="exact"/>
        <w:rPr>
          <w:sz w:val="20"/>
          <w:szCs w:val="20"/>
          <w:color w:val="auto"/>
        </w:rPr>
      </w:pPr>
    </w:p>
    <w:p>
      <w:pPr>
        <w:ind w:left="360" w:right="366" w:firstLine="641"/>
        <w:spacing w:after="0" w:line="470" w:lineRule="exact"/>
        <w:rPr>
          <w:sz w:val="20"/>
          <w:szCs w:val="20"/>
          <w:color w:val="auto"/>
        </w:rPr>
      </w:pPr>
      <w:r>
        <w:rPr>
          <w:rFonts w:ascii="宋体" w:cs="宋体" w:eastAsia="宋体" w:hAnsi="宋体"/>
          <w:sz w:val="32"/>
          <w:szCs w:val="32"/>
          <w:color w:val="auto"/>
        </w:rPr>
        <w:t>（五）被评估单位执行国家相关部门制定的行业监管指标的情况；</w:t>
      </w:r>
    </w:p>
    <w:p>
      <w:pPr>
        <w:spacing w:after="0" w:line="309" w:lineRule="exact"/>
        <w:rPr>
          <w:sz w:val="20"/>
          <w:szCs w:val="20"/>
          <w:color w:val="auto"/>
        </w:rPr>
      </w:pPr>
    </w:p>
    <w:p>
      <w:pPr>
        <w:ind w:left="360" w:right="366" w:firstLine="641"/>
        <w:spacing w:after="0" w:line="470" w:lineRule="exact"/>
        <w:rPr>
          <w:sz w:val="20"/>
          <w:szCs w:val="20"/>
          <w:color w:val="auto"/>
        </w:rPr>
      </w:pPr>
      <w:r>
        <w:rPr>
          <w:rFonts w:ascii="宋体" w:cs="宋体" w:eastAsia="宋体" w:hAnsi="宋体"/>
          <w:sz w:val="31"/>
          <w:szCs w:val="31"/>
          <w:color w:val="auto"/>
        </w:rPr>
        <w:t>（六）评估基准日至资产评估报告日之间可能对评估结论产生重大影响的事项，包括该期间利率、汇率、金融产品</w:t>
      </w:r>
    </w:p>
    <w:p>
      <w:pPr>
        <w:sectPr>
          <w:pgSz w:w="11900" w:h="16838" w:orient="portrait"/>
          <w:cols w:equalWidth="0" w:num="1">
            <w:col w:w="9026"/>
          </w:cols>
          <w:pgMar w:left="1440" w:top="1440" w:right="1440" w:bottom="1440" w:gutter="0" w:footer="0" w:header="0"/>
        </w:sectPr>
      </w:pPr>
    </w:p>
    <w:bookmarkStart w:id="10" w:name="page11"/>
    <w:bookmarkEnd w:id="10"/>
    <w:p>
      <w:pPr>
        <w:spacing w:after="0" w:line="104"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市场价格变化及国家对金融企业监管政策的变化等；</w:t>
      </w:r>
    </w:p>
    <w:p>
      <w:pPr>
        <w:spacing w:after="0" w:line="259" w:lineRule="exact"/>
        <w:rPr>
          <w:sz w:val="20"/>
          <w:szCs w:val="20"/>
          <w:color w:val="auto"/>
        </w:rPr>
      </w:pPr>
    </w:p>
    <w:p>
      <w:pPr>
        <w:ind w:left="1000"/>
        <w:spacing w:after="0" w:line="366" w:lineRule="exact"/>
        <w:rPr>
          <w:sz w:val="20"/>
          <w:szCs w:val="20"/>
          <w:color w:val="auto"/>
        </w:rPr>
      </w:pPr>
      <w:r>
        <w:rPr>
          <w:rFonts w:ascii="宋体" w:cs="宋体" w:eastAsia="宋体" w:hAnsi="宋体"/>
          <w:sz w:val="32"/>
          <w:szCs w:val="32"/>
          <w:color w:val="auto"/>
        </w:rPr>
        <w:t>（七）评估对应的经济行为中，可能对评估结论产生重</w:t>
      </w:r>
    </w:p>
    <w:p>
      <w:pPr>
        <w:spacing w:after="0" w:line="259"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大影响的瑕疵情形。</w:t>
      </w:r>
    </w:p>
    <w:p>
      <w:pPr>
        <w:spacing w:after="0" w:line="259" w:lineRule="exact"/>
        <w:rPr>
          <w:sz w:val="20"/>
          <w:szCs w:val="20"/>
          <w:color w:val="auto"/>
        </w:rPr>
      </w:pPr>
    </w:p>
    <w:p>
      <w:pPr>
        <w:ind w:left="1000"/>
        <w:spacing w:after="0" w:line="366" w:lineRule="exact"/>
        <w:rPr>
          <w:sz w:val="20"/>
          <w:szCs w:val="20"/>
          <w:color w:val="auto"/>
        </w:rPr>
      </w:pPr>
      <w:r>
        <w:rPr>
          <w:rFonts w:ascii="宋体" w:cs="宋体" w:eastAsia="宋体" w:hAnsi="宋体"/>
          <w:sz w:val="32"/>
          <w:szCs w:val="32"/>
          <w:color w:val="auto"/>
        </w:rPr>
        <w:t>资产评估报告应当说明对特别事项的处理方式、特别事</w:t>
      </w:r>
    </w:p>
    <w:p>
      <w:pPr>
        <w:spacing w:after="0" w:line="259"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项对评估结论可能产生的影响，并提示资产评估报告使用人</w:t>
      </w:r>
    </w:p>
    <w:p>
      <w:pPr>
        <w:spacing w:after="0" w:line="259"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关注其对经济行为的影响。</w:t>
      </w:r>
    </w:p>
    <w:p>
      <w:pPr>
        <w:spacing w:after="0" w:line="259" w:lineRule="exact"/>
        <w:rPr>
          <w:sz w:val="20"/>
          <w:szCs w:val="20"/>
          <w:color w:val="auto"/>
        </w:rPr>
      </w:pPr>
    </w:p>
    <w:p>
      <w:pPr>
        <w:ind w:left="1000"/>
        <w:spacing w:after="0" w:line="366" w:lineRule="exact"/>
        <w:tabs>
          <w:tab w:leader="none" w:pos="2920" w:val="left"/>
        </w:tabs>
        <w:rPr>
          <w:sz w:val="20"/>
          <w:szCs w:val="20"/>
          <w:color w:val="auto"/>
        </w:rPr>
      </w:pPr>
      <w:r>
        <w:rPr>
          <w:rFonts w:ascii="宋体" w:cs="宋体" w:eastAsia="宋体" w:hAnsi="宋体"/>
          <w:sz w:val="32"/>
          <w:szCs w:val="32"/>
          <w:b w:val="1"/>
          <w:bCs w:val="1"/>
          <w:color w:val="auto"/>
        </w:rPr>
        <w:t>第二十四条</w:t>
      </w:r>
      <w:r>
        <w:rPr>
          <w:sz w:val="20"/>
          <w:szCs w:val="20"/>
          <w:color w:val="auto"/>
        </w:rPr>
        <w:tab/>
      </w:r>
      <w:r>
        <w:rPr>
          <w:rFonts w:ascii="宋体" w:cs="宋体" w:eastAsia="宋体" w:hAnsi="宋体"/>
          <w:sz w:val="32"/>
          <w:szCs w:val="32"/>
          <w:color w:val="auto"/>
        </w:rPr>
        <w:t>资产评估报告使用限制应当载明：</w:t>
      </w:r>
    </w:p>
    <w:p>
      <w:pPr>
        <w:spacing w:after="0" w:line="156" w:lineRule="exact"/>
        <w:rPr>
          <w:sz w:val="20"/>
          <w:szCs w:val="20"/>
          <w:color w:val="auto"/>
        </w:rPr>
      </w:pPr>
    </w:p>
    <w:p>
      <w:pPr>
        <w:ind w:left="1000"/>
        <w:spacing w:after="0" w:line="366" w:lineRule="exact"/>
        <w:rPr>
          <w:sz w:val="20"/>
          <w:szCs w:val="20"/>
          <w:color w:val="auto"/>
        </w:rPr>
      </w:pPr>
      <w:r>
        <w:rPr>
          <w:rFonts w:ascii="宋体" w:cs="宋体" w:eastAsia="宋体" w:hAnsi="宋体"/>
          <w:sz w:val="32"/>
          <w:szCs w:val="32"/>
          <w:color w:val="auto"/>
        </w:rPr>
        <w:t>（一）使用范围；</w:t>
      </w:r>
    </w:p>
    <w:p>
      <w:pPr>
        <w:spacing w:after="0" w:line="268" w:lineRule="exact"/>
        <w:rPr>
          <w:sz w:val="20"/>
          <w:szCs w:val="20"/>
          <w:color w:val="auto"/>
        </w:rPr>
      </w:pPr>
    </w:p>
    <w:p>
      <w:pPr>
        <w:ind w:left="1000"/>
        <w:spacing w:after="0" w:line="354" w:lineRule="exact"/>
        <w:rPr>
          <w:sz w:val="20"/>
          <w:szCs w:val="20"/>
          <w:color w:val="auto"/>
        </w:rPr>
      </w:pPr>
      <w:r>
        <w:rPr>
          <w:rFonts w:ascii="宋体" w:cs="宋体" w:eastAsia="宋体" w:hAnsi="宋体"/>
          <w:sz w:val="31"/>
          <w:szCs w:val="31"/>
          <w:color w:val="auto"/>
        </w:rPr>
        <w:t>（二）委托人或者其他资产评估报告使用人未按照法律、</w:t>
      </w:r>
    </w:p>
    <w:p>
      <w:pPr>
        <w:spacing w:after="0" w:line="259"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行政法规规定和资产评估报告载明的使用范围使用资产评</w:t>
      </w:r>
    </w:p>
    <w:p>
      <w:pPr>
        <w:spacing w:after="0" w:line="268" w:lineRule="exact"/>
        <w:rPr>
          <w:sz w:val="20"/>
          <w:szCs w:val="20"/>
          <w:color w:val="auto"/>
        </w:rPr>
      </w:pPr>
    </w:p>
    <w:p>
      <w:pPr>
        <w:ind w:left="360"/>
        <w:spacing w:after="0" w:line="354" w:lineRule="exact"/>
        <w:rPr>
          <w:sz w:val="20"/>
          <w:szCs w:val="20"/>
          <w:color w:val="auto"/>
        </w:rPr>
      </w:pPr>
      <w:r>
        <w:rPr>
          <w:rFonts w:ascii="宋体" w:cs="宋体" w:eastAsia="宋体" w:hAnsi="宋体"/>
          <w:sz w:val="31"/>
          <w:szCs w:val="31"/>
          <w:color w:val="auto"/>
        </w:rPr>
        <w:t>估报告的，资产评估机构及其资产评估专业人员不承担责任；</w:t>
      </w:r>
    </w:p>
    <w:p>
      <w:pPr>
        <w:spacing w:after="0" w:line="257" w:lineRule="exact"/>
        <w:rPr>
          <w:sz w:val="20"/>
          <w:szCs w:val="20"/>
          <w:color w:val="auto"/>
        </w:rPr>
      </w:pPr>
    </w:p>
    <w:p>
      <w:pPr>
        <w:ind w:left="1000"/>
        <w:spacing w:after="0" w:line="366" w:lineRule="exact"/>
        <w:rPr>
          <w:sz w:val="20"/>
          <w:szCs w:val="20"/>
          <w:color w:val="auto"/>
        </w:rPr>
      </w:pPr>
      <w:r>
        <w:rPr>
          <w:rFonts w:ascii="宋体" w:cs="宋体" w:eastAsia="宋体" w:hAnsi="宋体"/>
          <w:sz w:val="32"/>
          <w:szCs w:val="32"/>
          <w:color w:val="auto"/>
        </w:rPr>
        <w:t>（三）除委托人、资产评估委托合同中约定的其他资产</w:t>
      </w:r>
    </w:p>
    <w:p>
      <w:pPr>
        <w:spacing w:after="0" w:line="270" w:lineRule="exact"/>
        <w:rPr>
          <w:sz w:val="20"/>
          <w:szCs w:val="20"/>
          <w:color w:val="auto"/>
        </w:rPr>
      </w:pPr>
    </w:p>
    <w:p>
      <w:pPr>
        <w:jc w:val="center"/>
        <w:ind w:right="6"/>
        <w:spacing w:after="0" w:line="354" w:lineRule="exact"/>
        <w:rPr>
          <w:sz w:val="20"/>
          <w:szCs w:val="20"/>
          <w:color w:val="auto"/>
        </w:rPr>
      </w:pPr>
      <w:r>
        <w:rPr>
          <w:rFonts w:ascii="宋体" w:cs="宋体" w:eastAsia="宋体" w:hAnsi="宋体"/>
          <w:sz w:val="31"/>
          <w:szCs w:val="31"/>
          <w:color w:val="auto"/>
        </w:rPr>
        <w:t>评估报告使用人和法律、行政法规规定的资产评估报告使用</w:t>
      </w:r>
    </w:p>
    <w:p>
      <w:pPr>
        <w:spacing w:after="0" w:line="257"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人之外，其他任何机构和个人不能成为资产评估报告的使用</w:t>
      </w:r>
    </w:p>
    <w:p>
      <w:pPr>
        <w:spacing w:after="0" w:line="259"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人；</w:t>
      </w:r>
    </w:p>
    <w:p>
      <w:pPr>
        <w:spacing w:after="0" w:line="360" w:lineRule="exact"/>
        <w:rPr>
          <w:sz w:val="20"/>
          <w:szCs w:val="20"/>
          <w:color w:val="auto"/>
        </w:rPr>
      </w:pPr>
    </w:p>
    <w:p>
      <w:pPr>
        <w:ind w:left="1000"/>
        <w:spacing w:after="0" w:line="366" w:lineRule="exact"/>
        <w:rPr>
          <w:sz w:val="20"/>
          <w:szCs w:val="20"/>
          <w:color w:val="auto"/>
        </w:rPr>
      </w:pPr>
      <w:r>
        <w:rPr>
          <w:rFonts w:ascii="宋体" w:cs="宋体" w:eastAsia="宋体" w:hAnsi="宋体"/>
          <w:sz w:val="32"/>
          <w:szCs w:val="32"/>
          <w:color w:val="auto"/>
        </w:rPr>
        <w:t>（四）资产评估报告使用人应当正确理解评估结论，评</w:t>
      </w:r>
    </w:p>
    <w:p>
      <w:pPr>
        <w:spacing w:after="0" w:line="259"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估结论不等同于评估对象可实现价格，评估结论不应当被认</w:t>
      </w:r>
    </w:p>
    <w:p>
      <w:pPr>
        <w:spacing w:after="0" w:line="259"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为是对评估对象可实现价格的保证。</w:t>
      </w:r>
    </w:p>
    <w:p>
      <w:pPr>
        <w:spacing w:after="0" w:line="259" w:lineRule="exact"/>
        <w:rPr>
          <w:sz w:val="20"/>
          <w:szCs w:val="20"/>
          <w:color w:val="auto"/>
        </w:rPr>
      </w:pPr>
    </w:p>
    <w:p>
      <w:pPr>
        <w:ind w:left="1000"/>
        <w:spacing w:after="0" w:line="366" w:lineRule="exact"/>
        <w:tabs>
          <w:tab w:leader="none" w:pos="2940" w:val="left"/>
        </w:tabs>
        <w:rPr>
          <w:sz w:val="20"/>
          <w:szCs w:val="20"/>
          <w:color w:val="auto"/>
        </w:rPr>
      </w:pPr>
      <w:r>
        <w:rPr>
          <w:rFonts w:ascii="宋体" w:cs="宋体" w:eastAsia="宋体" w:hAnsi="宋体"/>
          <w:sz w:val="32"/>
          <w:szCs w:val="32"/>
          <w:b w:val="1"/>
          <w:bCs w:val="1"/>
          <w:color w:val="auto"/>
        </w:rPr>
        <w:t>第二十五条</w:t>
      </w:r>
      <w:r>
        <w:rPr>
          <w:sz w:val="20"/>
          <w:szCs w:val="20"/>
          <w:color w:val="auto"/>
        </w:rPr>
        <w:tab/>
      </w:r>
      <w:r>
        <w:rPr>
          <w:rFonts w:ascii="宋体" w:cs="宋体" w:eastAsia="宋体" w:hAnsi="宋体"/>
          <w:sz w:val="32"/>
          <w:szCs w:val="32"/>
          <w:color w:val="auto"/>
        </w:rPr>
        <w:t>资产评估报告应当载明资产评估报告日。</w:t>
      </w:r>
    </w:p>
    <w:p>
      <w:pPr>
        <w:spacing w:after="0" w:line="260" w:lineRule="exact"/>
        <w:rPr>
          <w:sz w:val="20"/>
          <w:szCs w:val="20"/>
          <w:color w:val="auto"/>
        </w:rPr>
      </w:pPr>
    </w:p>
    <w:p>
      <w:pPr>
        <w:ind w:left="1000"/>
        <w:spacing w:after="0" w:line="366" w:lineRule="exact"/>
        <w:rPr>
          <w:sz w:val="20"/>
          <w:szCs w:val="20"/>
          <w:color w:val="auto"/>
        </w:rPr>
      </w:pPr>
      <w:r>
        <w:rPr>
          <w:rFonts w:ascii="宋体" w:cs="宋体" w:eastAsia="宋体" w:hAnsi="宋体"/>
          <w:sz w:val="32"/>
          <w:szCs w:val="32"/>
          <w:color w:val="auto"/>
        </w:rPr>
        <w:t>资产评估报告日通常为评估结论形成的日期，可以不同</w:t>
      </w:r>
    </w:p>
    <w:p>
      <w:pPr>
        <w:spacing w:after="0" w:line="259"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于资产评估报告的签发日。</w:t>
      </w:r>
    </w:p>
    <w:p>
      <w:pPr>
        <w:spacing w:after="0" w:line="259" w:lineRule="exact"/>
        <w:rPr>
          <w:sz w:val="20"/>
          <w:szCs w:val="20"/>
          <w:color w:val="auto"/>
        </w:rPr>
      </w:pPr>
    </w:p>
    <w:p>
      <w:pPr>
        <w:ind w:left="1000"/>
        <w:spacing w:after="0" w:line="366" w:lineRule="exact"/>
        <w:tabs>
          <w:tab w:leader="none" w:pos="2920" w:val="left"/>
        </w:tabs>
        <w:rPr>
          <w:sz w:val="20"/>
          <w:szCs w:val="20"/>
          <w:color w:val="auto"/>
        </w:rPr>
      </w:pPr>
      <w:r>
        <w:rPr>
          <w:rFonts w:ascii="宋体" w:cs="宋体" w:eastAsia="宋体" w:hAnsi="宋体"/>
          <w:sz w:val="32"/>
          <w:szCs w:val="32"/>
          <w:b w:val="1"/>
          <w:bCs w:val="1"/>
          <w:color w:val="auto"/>
        </w:rPr>
        <w:t>第二十六条</w:t>
      </w:r>
      <w:r>
        <w:rPr>
          <w:sz w:val="20"/>
          <w:szCs w:val="20"/>
          <w:color w:val="auto"/>
        </w:rPr>
        <w:tab/>
      </w:r>
      <w:r>
        <w:rPr>
          <w:rFonts w:ascii="宋体" w:cs="宋体" w:eastAsia="宋体" w:hAnsi="宋体"/>
          <w:sz w:val="32"/>
          <w:szCs w:val="32"/>
          <w:color w:val="auto"/>
        </w:rPr>
        <w:t>资产评估报告正文应当由至少两名承办</w:t>
      </w:r>
    </w:p>
    <w:p>
      <w:pPr>
        <w:sectPr>
          <w:pgSz w:w="11900" w:h="16838" w:orient="portrait"/>
          <w:cols w:equalWidth="0" w:num="1">
            <w:col w:w="9026"/>
          </w:cols>
          <w:pgMar w:left="1440" w:top="1440" w:right="1440" w:bottom="1440" w:gutter="0" w:footer="0" w:header="0"/>
        </w:sectPr>
      </w:pPr>
    </w:p>
    <w:bookmarkStart w:id="11" w:name="page12"/>
    <w:bookmarkEnd w:id="11"/>
    <w:p>
      <w:pPr>
        <w:spacing w:after="0" w:line="104" w:lineRule="exact"/>
        <w:rPr>
          <w:sz w:val="20"/>
          <w:szCs w:val="20"/>
          <w:color w:val="auto"/>
        </w:rPr>
      </w:pPr>
    </w:p>
    <w:p>
      <w:pPr>
        <w:jc w:val="right"/>
        <w:ind w:right="206"/>
        <w:spacing w:after="0" w:line="366" w:lineRule="exact"/>
        <w:rPr>
          <w:sz w:val="20"/>
          <w:szCs w:val="20"/>
          <w:color w:val="auto"/>
        </w:rPr>
      </w:pPr>
      <w:r>
        <w:rPr>
          <w:rFonts w:ascii="宋体" w:cs="宋体" w:eastAsia="宋体" w:hAnsi="宋体"/>
          <w:sz w:val="32"/>
          <w:szCs w:val="32"/>
          <w:color w:val="auto"/>
        </w:rPr>
        <w:t>该评估业务的资产评估师签名，并加盖资产评估机构印章。</w:t>
      </w:r>
    </w:p>
    <w:p>
      <w:pPr>
        <w:spacing w:after="0" w:line="259" w:lineRule="exact"/>
        <w:rPr>
          <w:sz w:val="20"/>
          <w:szCs w:val="20"/>
          <w:color w:val="auto"/>
        </w:rPr>
      </w:pPr>
    </w:p>
    <w:p>
      <w:pPr>
        <w:jc w:val="right"/>
        <w:ind w:right="206"/>
        <w:spacing w:after="0" w:line="366" w:lineRule="exact"/>
        <w:rPr>
          <w:sz w:val="20"/>
          <w:szCs w:val="20"/>
          <w:color w:val="auto"/>
        </w:rPr>
      </w:pPr>
      <w:r>
        <w:rPr>
          <w:rFonts w:ascii="宋体" w:cs="宋体" w:eastAsia="宋体" w:hAnsi="宋体"/>
          <w:sz w:val="32"/>
          <w:szCs w:val="32"/>
          <w:color w:val="auto"/>
        </w:rPr>
        <w:t>声明、摘要和评估明细表上通常不需要另行签名盖章。</w:t>
      </w:r>
    </w:p>
    <w:p>
      <w:pPr>
        <w:spacing w:after="0" w:line="200" w:lineRule="exact"/>
        <w:rPr>
          <w:sz w:val="20"/>
          <w:szCs w:val="20"/>
          <w:color w:val="auto"/>
        </w:rPr>
      </w:pPr>
    </w:p>
    <w:p>
      <w:pPr>
        <w:spacing w:after="0" w:line="215" w:lineRule="exact"/>
        <w:rPr>
          <w:sz w:val="20"/>
          <w:szCs w:val="20"/>
          <w:color w:val="auto"/>
        </w:rPr>
      </w:pPr>
    </w:p>
    <w:p>
      <w:pPr>
        <w:jc w:val="center"/>
        <w:ind w:right="6"/>
        <w:spacing w:after="0" w:line="366" w:lineRule="exact"/>
        <w:rPr>
          <w:sz w:val="20"/>
          <w:szCs w:val="20"/>
          <w:color w:val="auto"/>
        </w:rPr>
      </w:pPr>
      <w:r>
        <w:rPr>
          <w:rFonts w:ascii="宋体" w:cs="宋体" w:eastAsia="宋体" w:hAnsi="宋体"/>
          <w:sz w:val="32"/>
          <w:szCs w:val="32"/>
          <w:color w:val="auto"/>
        </w:rPr>
        <w:t>第四章 附件</w:t>
      </w:r>
    </w:p>
    <w:p>
      <w:pPr>
        <w:spacing w:after="0" w:line="200" w:lineRule="exact"/>
        <w:rPr>
          <w:sz w:val="20"/>
          <w:szCs w:val="20"/>
          <w:color w:val="auto"/>
        </w:rPr>
      </w:pPr>
    </w:p>
    <w:p>
      <w:pPr>
        <w:spacing w:after="0" w:line="263" w:lineRule="exact"/>
        <w:rPr>
          <w:sz w:val="20"/>
          <w:szCs w:val="20"/>
          <w:color w:val="auto"/>
        </w:rPr>
      </w:pPr>
    </w:p>
    <w:p>
      <w:pPr>
        <w:ind w:left="360" w:right="206" w:firstLine="643"/>
        <w:spacing w:after="0" w:line="522" w:lineRule="exact"/>
        <w:rPr>
          <w:sz w:val="20"/>
          <w:szCs w:val="20"/>
          <w:color w:val="auto"/>
        </w:rPr>
      </w:pPr>
      <w:r>
        <w:rPr>
          <w:rFonts w:ascii="宋体" w:cs="宋体" w:eastAsia="宋体" w:hAnsi="宋体"/>
          <w:sz w:val="32"/>
          <w:szCs w:val="32"/>
          <w:b w:val="1"/>
          <w:bCs w:val="1"/>
          <w:color w:val="auto"/>
        </w:rPr>
        <w:t xml:space="preserve">第二十七条 </w:t>
      </w:r>
      <w:r>
        <w:rPr>
          <w:rFonts w:ascii="宋体" w:cs="宋体" w:eastAsia="宋体" w:hAnsi="宋体"/>
          <w:sz w:val="32"/>
          <w:szCs w:val="32"/>
          <w:color w:val="auto"/>
        </w:rPr>
        <w:t>资产评估报告附件内容应当与评估目的、评估方法、评估结论相关联。资产评估报告附件通常包括下列文件：</w:t>
      </w:r>
    </w:p>
    <w:p>
      <w:pPr>
        <w:spacing w:after="0" w:line="260" w:lineRule="exact"/>
        <w:rPr>
          <w:sz w:val="20"/>
          <w:szCs w:val="20"/>
          <w:color w:val="auto"/>
        </w:rPr>
      </w:pPr>
    </w:p>
    <w:p>
      <w:pPr>
        <w:ind w:left="1000"/>
        <w:spacing w:after="0" w:line="366" w:lineRule="exact"/>
        <w:rPr>
          <w:sz w:val="20"/>
          <w:szCs w:val="20"/>
          <w:color w:val="auto"/>
        </w:rPr>
      </w:pPr>
      <w:r>
        <w:rPr>
          <w:rFonts w:ascii="宋体" w:cs="宋体" w:eastAsia="宋体" w:hAnsi="宋体"/>
          <w:sz w:val="32"/>
          <w:szCs w:val="32"/>
          <w:color w:val="auto"/>
        </w:rPr>
        <w:t>（一）与评估目的相对应的经济行为文件；</w:t>
      </w:r>
    </w:p>
    <w:p>
      <w:pPr>
        <w:spacing w:after="0" w:line="259" w:lineRule="exact"/>
        <w:rPr>
          <w:sz w:val="20"/>
          <w:szCs w:val="20"/>
          <w:color w:val="auto"/>
        </w:rPr>
      </w:pPr>
    </w:p>
    <w:p>
      <w:pPr>
        <w:ind w:left="1000"/>
        <w:spacing w:after="0" w:line="366" w:lineRule="exact"/>
        <w:rPr>
          <w:sz w:val="20"/>
          <w:szCs w:val="20"/>
          <w:color w:val="auto"/>
        </w:rPr>
      </w:pPr>
      <w:r>
        <w:rPr>
          <w:rFonts w:ascii="宋体" w:cs="宋体" w:eastAsia="宋体" w:hAnsi="宋体"/>
          <w:sz w:val="32"/>
          <w:szCs w:val="32"/>
          <w:color w:val="auto"/>
        </w:rPr>
        <w:t>（二）被评估单位的财务报表及审计报告；</w:t>
      </w:r>
    </w:p>
    <w:p>
      <w:pPr>
        <w:spacing w:after="0" w:line="259" w:lineRule="exact"/>
        <w:rPr>
          <w:sz w:val="20"/>
          <w:szCs w:val="20"/>
          <w:color w:val="auto"/>
        </w:rPr>
      </w:pPr>
    </w:p>
    <w:p>
      <w:pPr>
        <w:ind w:left="1000"/>
        <w:spacing w:after="0" w:line="366" w:lineRule="exact"/>
        <w:rPr>
          <w:sz w:val="20"/>
          <w:szCs w:val="20"/>
          <w:color w:val="auto"/>
        </w:rPr>
      </w:pPr>
      <w:r>
        <w:rPr>
          <w:rFonts w:ascii="宋体" w:cs="宋体" w:eastAsia="宋体" w:hAnsi="宋体"/>
          <w:sz w:val="32"/>
          <w:szCs w:val="32"/>
          <w:color w:val="auto"/>
        </w:rPr>
        <w:t>（三）委托人和被评估单位法人营业执照；</w:t>
      </w:r>
    </w:p>
    <w:p>
      <w:pPr>
        <w:spacing w:after="0" w:line="259" w:lineRule="exact"/>
        <w:rPr>
          <w:sz w:val="20"/>
          <w:szCs w:val="20"/>
          <w:color w:val="auto"/>
        </w:rPr>
      </w:pPr>
    </w:p>
    <w:p>
      <w:pPr>
        <w:ind w:left="1000"/>
        <w:spacing w:after="0" w:line="366" w:lineRule="exact"/>
        <w:rPr>
          <w:sz w:val="20"/>
          <w:szCs w:val="20"/>
          <w:color w:val="auto"/>
        </w:rPr>
      </w:pPr>
      <w:r>
        <w:rPr>
          <w:rFonts w:ascii="宋体" w:cs="宋体" w:eastAsia="宋体" w:hAnsi="宋体"/>
          <w:sz w:val="32"/>
          <w:szCs w:val="32"/>
          <w:color w:val="auto"/>
        </w:rPr>
        <w:t>（四）被评估单位金融业务许可证；</w:t>
      </w:r>
    </w:p>
    <w:p>
      <w:pPr>
        <w:spacing w:after="0" w:line="259" w:lineRule="exact"/>
        <w:rPr>
          <w:sz w:val="20"/>
          <w:szCs w:val="20"/>
          <w:color w:val="auto"/>
        </w:rPr>
      </w:pPr>
    </w:p>
    <w:p>
      <w:pPr>
        <w:ind w:left="1000"/>
        <w:spacing w:after="0" w:line="366" w:lineRule="exact"/>
        <w:rPr>
          <w:sz w:val="20"/>
          <w:szCs w:val="20"/>
          <w:color w:val="auto"/>
        </w:rPr>
      </w:pPr>
      <w:r>
        <w:rPr>
          <w:rFonts w:ascii="宋体" w:cs="宋体" w:eastAsia="宋体" w:hAnsi="宋体"/>
          <w:sz w:val="32"/>
          <w:szCs w:val="32"/>
          <w:color w:val="auto"/>
        </w:rPr>
        <w:t>（五）委托人和被评估单位产权登记证；</w:t>
      </w:r>
    </w:p>
    <w:p>
      <w:pPr>
        <w:spacing w:after="0" w:line="259" w:lineRule="exact"/>
        <w:rPr>
          <w:sz w:val="20"/>
          <w:szCs w:val="20"/>
          <w:color w:val="auto"/>
        </w:rPr>
      </w:pPr>
    </w:p>
    <w:p>
      <w:pPr>
        <w:ind w:left="1000"/>
        <w:spacing w:after="0" w:line="366" w:lineRule="exact"/>
        <w:rPr>
          <w:sz w:val="20"/>
          <w:szCs w:val="20"/>
          <w:color w:val="auto"/>
        </w:rPr>
      </w:pPr>
      <w:r>
        <w:rPr>
          <w:rFonts w:ascii="宋体" w:cs="宋体" w:eastAsia="宋体" w:hAnsi="宋体"/>
          <w:sz w:val="32"/>
          <w:szCs w:val="32"/>
          <w:color w:val="auto"/>
        </w:rPr>
        <w:t>（六）评估对象涉及的主要权属证明资料；</w:t>
      </w:r>
    </w:p>
    <w:p>
      <w:pPr>
        <w:spacing w:after="0" w:line="259" w:lineRule="exact"/>
        <w:rPr>
          <w:sz w:val="20"/>
          <w:szCs w:val="20"/>
          <w:color w:val="auto"/>
        </w:rPr>
      </w:pPr>
    </w:p>
    <w:p>
      <w:pPr>
        <w:ind w:left="1000"/>
        <w:spacing w:after="0" w:line="366" w:lineRule="exact"/>
        <w:rPr>
          <w:sz w:val="20"/>
          <w:szCs w:val="20"/>
          <w:color w:val="auto"/>
        </w:rPr>
      </w:pPr>
      <w:r>
        <w:rPr>
          <w:rFonts w:ascii="宋体" w:cs="宋体" w:eastAsia="宋体" w:hAnsi="宋体"/>
          <w:sz w:val="32"/>
          <w:szCs w:val="32"/>
          <w:color w:val="auto"/>
        </w:rPr>
        <w:t>（七）委托人和其他相关当事人的承诺函；</w:t>
      </w:r>
    </w:p>
    <w:p>
      <w:pPr>
        <w:spacing w:after="0" w:line="259" w:lineRule="exact"/>
        <w:rPr>
          <w:sz w:val="20"/>
          <w:szCs w:val="20"/>
          <w:color w:val="auto"/>
        </w:rPr>
      </w:pPr>
    </w:p>
    <w:p>
      <w:pPr>
        <w:ind w:left="1000"/>
        <w:spacing w:after="0" w:line="366" w:lineRule="exact"/>
        <w:rPr>
          <w:sz w:val="20"/>
          <w:szCs w:val="20"/>
          <w:color w:val="auto"/>
        </w:rPr>
      </w:pPr>
      <w:r>
        <w:rPr>
          <w:rFonts w:ascii="宋体" w:cs="宋体" w:eastAsia="宋体" w:hAnsi="宋体"/>
          <w:sz w:val="32"/>
          <w:szCs w:val="32"/>
          <w:color w:val="auto"/>
        </w:rPr>
        <w:t>（八）签名资产评估师的承诺函；</w:t>
      </w:r>
    </w:p>
    <w:p>
      <w:pPr>
        <w:spacing w:after="0" w:line="259" w:lineRule="exact"/>
        <w:rPr>
          <w:sz w:val="20"/>
          <w:szCs w:val="20"/>
          <w:color w:val="auto"/>
        </w:rPr>
      </w:pPr>
    </w:p>
    <w:p>
      <w:pPr>
        <w:ind w:left="1000"/>
        <w:spacing w:after="0" w:line="366" w:lineRule="exact"/>
        <w:rPr>
          <w:sz w:val="20"/>
          <w:szCs w:val="20"/>
          <w:color w:val="auto"/>
        </w:rPr>
      </w:pPr>
      <w:r>
        <w:rPr>
          <w:rFonts w:ascii="宋体" w:cs="宋体" w:eastAsia="宋体" w:hAnsi="宋体"/>
          <w:sz w:val="32"/>
          <w:szCs w:val="32"/>
          <w:color w:val="auto"/>
        </w:rPr>
        <w:t>（九）资产评估机构备案文件或者资格证明文件；</w:t>
      </w:r>
    </w:p>
    <w:p>
      <w:pPr>
        <w:spacing w:after="0" w:line="259" w:lineRule="exact"/>
        <w:rPr>
          <w:sz w:val="20"/>
          <w:szCs w:val="20"/>
          <w:color w:val="auto"/>
        </w:rPr>
      </w:pPr>
    </w:p>
    <w:p>
      <w:pPr>
        <w:ind w:left="1000"/>
        <w:spacing w:after="0" w:line="366" w:lineRule="exact"/>
        <w:rPr>
          <w:sz w:val="20"/>
          <w:szCs w:val="20"/>
          <w:color w:val="auto"/>
        </w:rPr>
      </w:pPr>
      <w:r>
        <w:rPr>
          <w:rFonts w:ascii="宋体" w:cs="宋体" w:eastAsia="宋体" w:hAnsi="宋体"/>
          <w:sz w:val="32"/>
          <w:szCs w:val="32"/>
          <w:color w:val="auto"/>
        </w:rPr>
        <w:t>（十）资产评估机构法人营业执照副本；</w:t>
      </w:r>
    </w:p>
    <w:p>
      <w:pPr>
        <w:spacing w:after="0" w:line="259" w:lineRule="exact"/>
        <w:rPr>
          <w:sz w:val="20"/>
          <w:szCs w:val="20"/>
          <w:color w:val="auto"/>
        </w:rPr>
      </w:pPr>
    </w:p>
    <w:p>
      <w:pPr>
        <w:ind w:left="1000"/>
        <w:spacing w:after="0" w:line="366" w:lineRule="exact"/>
        <w:rPr>
          <w:sz w:val="20"/>
          <w:szCs w:val="20"/>
          <w:color w:val="auto"/>
        </w:rPr>
      </w:pPr>
      <w:r>
        <w:rPr>
          <w:rFonts w:ascii="宋体" w:cs="宋体" w:eastAsia="宋体" w:hAnsi="宋体"/>
          <w:sz w:val="32"/>
          <w:szCs w:val="32"/>
          <w:color w:val="auto"/>
        </w:rPr>
        <w:t>（十一）负责该评估业务的资产评估师资格证明文件；</w:t>
      </w:r>
    </w:p>
    <w:p>
      <w:pPr>
        <w:spacing w:after="0" w:line="259" w:lineRule="exact"/>
        <w:rPr>
          <w:sz w:val="20"/>
          <w:szCs w:val="20"/>
          <w:color w:val="auto"/>
        </w:rPr>
      </w:pPr>
    </w:p>
    <w:p>
      <w:pPr>
        <w:ind w:left="1000"/>
        <w:spacing w:after="0" w:line="366" w:lineRule="exact"/>
        <w:rPr>
          <w:sz w:val="20"/>
          <w:szCs w:val="20"/>
          <w:color w:val="auto"/>
        </w:rPr>
      </w:pPr>
      <w:r>
        <w:rPr>
          <w:rFonts w:ascii="宋体" w:cs="宋体" w:eastAsia="宋体" w:hAnsi="宋体"/>
          <w:sz w:val="32"/>
          <w:szCs w:val="32"/>
          <w:color w:val="auto"/>
        </w:rPr>
        <w:t>（十二）资产评估委托合同；</w:t>
      </w:r>
    </w:p>
    <w:p>
      <w:pPr>
        <w:spacing w:after="0" w:line="260" w:lineRule="exact"/>
        <w:rPr>
          <w:sz w:val="20"/>
          <w:szCs w:val="20"/>
          <w:color w:val="auto"/>
        </w:rPr>
      </w:pPr>
    </w:p>
    <w:p>
      <w:pPr>
        <w:ind w:left="1000"/>
        <w:spacing w:after="0" w:line="366" w:lineRule="exact"/>
        <w:rPr>
          <w:sz w:val="20"/>
          <w:szCs w:val="20"/>
          <w:color w:val="auto"/>
        </w:rPr>
      </w:pPr>
      <w:r>
        <w:rPr>
          <w:rFonts w:ascii="宋体" w:cs="宋体" w:eastAsia="宋体" w:hAnsi="宋体"/>
          <w:sz w:val="32"/>
          <w:szCs w:val="32"/>
          <w:color w:val="auto"/>
        </w:rPr>
        <w:t>（十三）其他重要文件。</w:t>
      </w:r>
    </w:p>
    <w:p>
      <w:pPr>
        <w:spacing w:after="0" w:line="259" w:lineRule="exact"/>
        <w:rPr>
          <w:sz w:val="20"/>
          <w:szCs w:val="20"/>
          <w:color w:val="auto"/>
        </w:rPr>
      </w:pPr>
    </w:p>
    <w:p>
      <w:pPr>
        <w:ind w:left="1000"/>
        <w:spacing w:after="0" w:line="366" w:lineRule="exact"/>
        <w:tabs>
          <w:tab w:leader="none" w:pos="2920" w:val="left"/>
        </w:tabs>
        <w:rPr>
          <w:sz w:val="20"/>
          <w:szCs w:val="20"/>
          <w:color w:val="auto"/>
        </w:rPr>
      </w:pPr>
      <w:r>
        <w:rPr>
          <w:rFonts w:ascii="宋体" w:cs="宋体" w:eastAsia="宋体" w:hAnsi="宋体"/>
          <w:sz w:val="32"/>
          <w:szCs w:val="32"/>
          <w:b w:val="1"/>
          <w:bCs w:val="1"/>
          <w:color w:val="auto"/>
        </w:rPr>
        <w:t>第二十八条</w:t>
      </w:r>
      <w:r>
        <w:rPr>
          <w:sz w:val="20"/>
          <w:szCs w:val="20"/>
          <w:color w:val="auto"/>
        </w:rPr>
        <w:tab/>
      </w:r>
      <w:r>
        <w:rPr>
          <w:rFonts w:ascii="宋体" w:cs="宋体" w:eastAsia="宋体" w:hAnsi="宋体"/>
          <w:sz w:val="32"/>
          <w:szCs w:val="32"/>
          <w:color w:val="auto"/>
        </w:rPr>
        <w:t>资产评估报告附件内容及其所涉及的签</w:t>
      </w:r>
    </w:p>
    <w:p>
      <w:pPr>
        <w:spacing w:after="0" w:line="259"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章应当清晰、完整，相关内容应当与资产评估报告摘要、正</w:t>
      </w:r>
    </w:p>
    <w:p>
      <w:pPr>
        <w:spacing w:after="0" w:line="259"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文一致。资产评估报告附件为复印件的，应当与原件一致。</w:t>
      </w:r>
    </w:p>
    <w:p>
      <w:pPr>
        <w:sectPr>
          <w:pgSz w:w="11900" w:h="16838" w:orient="portrait"/>
          <w:cols w:equalWidth="0" w:num="1">
            <w:col w:w="9026"/>
          </w:cols>
          <w:pgMar w:left="1440" w:top="1440" w:right="1440" w:bottom="947" w:gutter="0" w:footer="0" w:header="0"/>
        </w:sectPr>
      </w:pPr>
    </w:p>
    <w:bookmarkStart w:id="12" w:name="page13"/>
    <w:bookmarkEnd w:id="12"/>
    <w:p>
      <w:pPr>
        <w:spacing w:after="0" w:line="152" w:lineRule="exact"/>
        <w:rPr>
          <w:sz w:val="20"/>
          <w:szCs w:val="20"/>
          <w:color w:val="auto"/>
        </w:rPr>
      </w:pPr>
    </w:p>
    <w:p>
      <w:pPr>
        <w:ind w:left="360" w:right="206" w:firstLine="643"/>
        <w:spacing w:after="0" w:line="546" w:lineRule="exact"/>
        <w:rPr>
          <w:sz w:val="20"/>
          <w:szCs w:val="20"/>
          <w:color w:val="auto"/>
        </w:rPr>
      </w:pPr>
      <w:r>
        <w:rPr>
          <w:rFonts w:ascii="宋体" w:cs="宋体" w:eastAsia="宋体" w:hAnsi="宋体"/>
          <w:sz w:val="32"/>
          <w:szCs w:val="32"/>
          <w:b w:val="1"/>
          <w:bCs w:val="1"/>
          <w:color w:val="auto"/>
        </w:rPr>
        <w:t xml:space="preserve">第二十九条 </w:t>
      </w:r>
      <w:r>
        <w:rPr>
          <w:rFonts w:ascii="宋体" w:cs="宋体" w:eastAsia="宋体" w:hAnsi="宋体"/>
          <w:sz w:val="32"/>
          <w:szCs w:val="32"/>
          <w:color w:val="auto"/>
        </w:rPr>
        <w:t>企业确认的与经济行为相对应的评估基准日企业财务报表应当作为资产评估报告附件，按照法律、行政法规规定需要进行审计的，审计报告（含会计报表和附注）应当作为资产评估报告附件。</w:t>
      </w:r>
    </w:p>
    <w:p>
      <w:pPr>
        <w:spacing w:after="0" w:line="312" w:lineRule="exact"/>
        <w:rPr>
          <w:sz w:val="20"/>
          <w:szCs w:val="20"/>
          <w:color w:val="auto"/>
        </w:rPr>
      </w:pPr>
    </w:p>
    <w:p>
      <w:pPr>
        <w:jc w:val="both"/>
        <w:ind w:left="360" w:right="366" w:firstLine="641"/>
        <w:spacing w:after="0" w:line="522" w:lineRule="exact"/>
        <w:rPr>
          <w:sz w:val="20"/>
          <w:szCs w:val="20"/>
          <w:color w:val="auto"/>
        </w:rPr>
      </w:pPr>
      <w:r>
        <w:rPr>
          <w:rFonts w:ascii="宋体" w:cs="宋体" w:eastAsia="宋体" w:hAnsi="宋体"/>
          <w:sz w:val="32"/>
          <w:szCs w:val="32"/>
          <w:color w:val="auto"/>
        </w:rPr>
        <w:t>引用其他机构出具的报告结论，根据现行有关规定，需要经相应主管部门批准（备案）的，应当将相应主管部门的批准（备案）文件作为资产评估报告的附件。</w:t>
      </w:r>
    </w:p>
    <w:p>
      <w:pPr>
        <w:spacing w:after="0" w:line="200" w:lineRule="exact"/>
        <w:rPr>
          <w:sz w:val="20"/>
          <w:szCs w:val="20"/>
          <w:color w:val="auto"/>
        </w:rPr>
      </w:pPr>
    </w:p>
    <w:p>
      <w:pPr>
        <w:spacing w:after="0" w:line="216" w:lineRule="exact"/>
        <w:rPr>
          <w:sz w:val="20"/>
          <w:szCs w:val="20"/>
          <w:color w:val="auto"/>
        </w:rPr>
      </w:pPr>
    </w:p>
    <w:p>
      <w:pPr>
        <w:jc w:val="center"/>
        <w:ind w:left="2720"/>
        <w:spacing w:after="0" w:line="366" w:lineRule="exact"/>
        <w:tabs>
          <w:tab w:leader="none" w:pos="300" w:val="left"/>
        </w:tabs>
        <w:rPr>
          <w:sz w:val="20"/>
          <w:szCs w:val="20"/>
          <w:color w:val="auto"/>
        </w:rPr>
      </w:pPr>
      <w:r>
        <w:rPr>
          <w:rFonts w:ascii="宋体" w:cs="宋体" w:eastAsia="宋体" w:hAnsi="宋体"/>
          <w:sz w:val="32"/>
          <w:szCs w:val="32"/>
          <w:color w:val="auto"/>
        </w:rPr>
        <w:t>第五章</w:t>
        <w:tab/>
        <w:t>评估明细表</w:t>
      </w:r>
    </w:p>
    <w:p>
      <w:pPr>
        <w:spacing w:after="0" w:line="200" w:lineRule="exact"/>
        <w:rPr>
          <w:sz w:val="20"/>
          <w:szCs w:val="20"/>
          <w:color w:val="auto"/>
        </w:rPr>
      </w:pPr>
    </w:p>
    <w:p>
      <w:pPr>
        <w:spacing w:after="0" w:line="215" w:lineRule="exact"/>
        <w:rPr>
          <w:sz w:val="20"/>
          <w:szCs w:val="20"/>
          <w:color w:val="auto"/>
        </w:rPr>
      </w:pPr>
    </w:p>
    <w:p>
      <w:pPr>
        <w:ind w:left="1000"/>
        <w:spacing w:after="0" w:line="366" w:lineRule="exact"/>
        <w:tabs>
          <w:tab w:leader="none" w:pos="2580" w:val="left"/>
        </w:tabs>
        <w:rPr>
          <w:sz w:val="20"/>
          <w:szCs w:val="20"/>
          <w:color w:val="auto"/>
        </w:rPr>
      </w:pPr>
      <w:r>
        <w:rPr>
          <w:rFonts w:ascii="宋体" w:cs="宋体" w:eastAsia="宋体" w:hAnsi="宋体"/>
          <w:sz w:val="32"/>
          <w:szCs w:val="32"/>
          <w:b w:val="1"/>
          <w:bCs w:val="1"/>
          <w:color w:val="auto"/>
        </w:rPr>
        <w:t>第三十条</w:t>
      </w:r>
      <w:r>
        <w:rPr>
          <w:sz w:val="20"/>
          <w:szCs w:val="20"/>
          <w:color w:val="auto"/>
        </w:rPr>
        <w:tab/>
      </w:r>
      <w:r>
        <w:rPr>
          <w:rFonts w:ascii="宋体" w:cs="宋体" w:eastAsia="宋体" w:hAnsi="宋体"/>
          <w:sz w:val="32"/>
          <w:szCs w:val="32"/>
          <w:color w:val="auto"/>
        </w:rPr>
        <w:t>评估明细表可以根据本指南的基本要求和</w:t>
      </w:r>
    </w:p>
    <w:p>
      <w:pPr>
        <w:spacing w:after="0" w:line="259"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企业会计核算所设置的会计科目，结合评估方法特点进行编</w:t>
      </w:r>
    </w:p>
    <w:p>
      <w:pPr>
        <w:spacing w:after="0" w:line="259"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制。</w:t>
      </w:r>
    </w:p>
    <w:p>
      <w:pPr>
        <w:spacing w:after="0" w:line="259" w:lineRule="exact"/>
        <w:rPr>
          <w:sz w:val="20"/>
          <w:szCs w:val="20"/>
          <w:color w:val="auto"/>
        </w:rPr>
      </w:pPr>
    </w:p>
    <w:p>
      <w:pPr>
        <w:ind w:left="1000"/>
        <w:spacing w:after="0" w:line="366" w:lineRule="exact"/>
        <w:rPr>
          <w:sz w:val="20"/>
          <w:szCs w:val="20"/>
          <w:color w:val="auto"/>
        </w:rPr>
      </w:pPr>
      <w:r>
        <w:rPr>
          <w:rFonts w:ascii="宋体" w:cs="宋体" w:eastAsia="宋体" w:hAnsi="宋体"/>
          <w:sz w:val="32"/>
          <w:szCs w:val="32"/>
          <w:color w:val="auto"/>
        </w:rPr>
        <w:t>（一）单项资产或者资产组合评估、采用资产基础法进</w:t>
      </w:r>
    </w:p>
    <w:p>
      <w:pPr>
        <w:spacing w:after="0" w:line="259"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行企业价值评估，评估明细表包括按会计科目设置的资产、</w:t>
      </w:r>
    </w:p>
    <w:p>
      <w:pPr>
        <w:spacing w:after="0" w:line="259"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负债评估明细表和各级汇总表；</w:t>
      </w:r>
    </w:p>
    <w:p>
      <w:pPr>
        <w:spacing w:after="0" w:line="259" w:lineRule="exact"/>
        <w:rPr>
          <w:sz w:val="20"/>
          <w:szCs w:val="20"/>
          <w:color w:val="auto"/>
        </w:rPr>
      </w:pPr>
    </w:p>
    <w:p>
      <w:pPr>
        <w:ind w:left="1000"/>
        <w:spacing w:after="0" w:line="366" w:lineRule="exact"/>
        <w:rPr>
          <w:sz w:val="20"/>
          <w:szCs w:val="20"/>
          <w:color w:val="auto"/>
        </w:rPr>
      </w:pPr>
      <w:r>
        <w:rPr>
          <w:rFonts w:ascii="宋体" w:cs="宋体" w:eastAsia="宋体" w:hAnsi="宋体"/>
          <w:sz w:val="32"/>
          <w:szCs w:val="32"/>
          <w:color w:val="auto"/>
        </w:rPr>
        <w:t>（二）采用收益法进行企业价值评估，可以根据收益法</w:t>
      </w:r>
    </w:p>
    <w:p>
      <w:pPr>
        <w:spacing w:after="0" w:line="259"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评估参数和盈利预测项目的构成等具体情况设计评估明细</w:t>
      </w:r>
    </w:p>
    <w:p>
      <w:pPr>
        <w:spacing w:after="0" w:line="259"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表的格式和内容；</w:t>
      </w:r>
    </w:p>
    <w:p>
      <w:pPr>
        <w:spacing w:after="0" w:line="259" w:lineRule="exact"/>
        <w:rPr>
          <w:sz w:val="20"/>
          <w:szCs w:val="20"/>
          <w:color w:val="auto"/>
        </w:rPr>
      </w:pPr>
    </w:p>
    <w:p>
      <w:pPr>
        <w:ind w:left="1000"/>
        <w:spacing w:after="0" w:line="366" w:lineRule="exact"/>
        <w:rPr>
          <w:sz w:val="20"/>
          <w:szCs w:val="20"/>
          <w:color w:val="auto"/>
        </w:rPr>
      </w:pPr>
      <w:r>
        <w:rPr>
          <w:rFonts w:ascii="宋体" w:cs="宋体" w:eastAsia="宋体" w:hAnsi="宋体"/>
          <w:sz w:val="32"/>
          <w:szCs w:val="32"/>
          <w:color w:val="auto"/>
        </w:rPr>
        <w:t>（三）采用市场法进行企业价值评估，可以根据评估技</w:t>
      </w:r>
    </w:p>
    <w:p>
      <w:pPr>
        <w:spacing w:after="0" w:line="260"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术说明的详略程度决定是否单独编制符合市场法特点的评</w:t>
      </w:r>
    </w:p>
    <w:p>
      <w:pPr>
        <w:spacing w:after="0" w:line="259"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估明细表。</w:t>
      </w:r>
    </w:p>
    <w:p>
      <w:pPr>
        <w:spacing w:after="0" w:line="259" w:lineRule="exact"/>
        <w:rPr>
          <w:sz w:val="20"/>
          <w:szCs w:val="20"/>
          <w:color w:val="auto"/>
        </w:rPr>
      </w:pPr>
    </w:p>
    <w:p>
      <w:pPr>
        <w:ind w:left="1000"/>
        <w:spacing w:after="0" w:line="366" w:lineRule="exact"/>
        <w:tabs>
          <w:tab w:leader="none" w:pos="2920" w:val="left"/>
        </w:tabs>
        <w:rPr>
          <w:sz w:val="20"/>
          <w:szCs w:val="20"/>
          <w:color w:val="auto"/>
        </w:rPr>
      </w:pPr>
      <w:r>
        <w:rPr>
          <w:rFonts w:ascii="宋体" w:cs="宋体" w:eastAsia="宋体" w:hAnsi="宋体"/>
          <w:sz w:val="32"/>
          <w:szCs w:val="32"/>
          <w:b w:val="1"/>
          <w:bCs w:val="1"/>
          <w:color w:val="auto"/>
        </w:rPr>
        <w:t>第三十一条</w:t>
      </w:r>
      <w:r>
        <w:rPr>
          <w:sz w:val="20"/>
          <w:szCs w:val="20"/>
          <w:color w:val="auto"/>
        </w:rPr>
        <w:tab/>
      </w:r>
      <w:r>
        <w:rPr>
          <w:rFonts w:ascii="宋体" w:cs="宋体" w:eastAsia="宋体" w:hAnsi="宋体"/>
          <w:sz w:val="32"/>
          <w:szCs w:val="32"/>
          <w:color w:val="auto"/>
        </w:rPr>
        <w:t>资产负债会计科目的评估明细表格式和</w:t>
      </w:r>
    </w:p>
    <w:p>
      <w:pPr>
        <w:spacing w:after="0" w:line="259"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内容基本要求如下：</w:t>
      </w:r>
    </w:p>
    <w:p>
      <w:pPr>
        <w:sectPr>
          <w:pgSz w:w="11900" w:h="16838" w:orient="portrait"/>
          <w:cols w:equalWidth="0" w:num="1">
            <w:col w:w="9026"/>
          </w:cols>
          <w:pgMar w:left="1440" w:top="1440" w:right="1440" w:bottom="947" w:gutter="0" w:footer="0" w:header="0"/>
        </w:sectPr>
      </w:pPr>
    </w:p>
    <w:bookmarkStart w:id="13" w:name="page14"/>
    <w:bookmarkEnd w:id="13"/>
    <w:p>
      <w:pPr>
        <w:spacing w:after="0" w:line="152" w:lineRule="exact"/>
        <w:rPr>
          <w:sz w:val="20"/>
          <w:szCs w:val="20"/>
          <w:color w:val="auto"/>
        </w:rPr>
      </w:pPr>
    </w:p>
    <w:p>
      <w:pPr>
        <w:jc w:val="both"/>
        <w:ind w:left="360" w:right="366" w:firstLine="641"/>
        <w:spacing w:after="0" w:line="470" w:lineRule="exact"/>
        <w:rPr>
          <w:sz w:val="20"/>
          <w:szCs w:val="20"/>
          <w:color w:val="auto"/>
        </w:rPr>
      </w:pPr>
      <w:r>
        <w:rPr>
          <w:rFonts w:ascii="宋体" w:cs="宋体" w:eastAsia="宋体" w:hAnsi="宋体"/>
          <w:sz w:val="32"/>
          <w:szCs w:val="32"/>
          <w:color w:val="auto"/>
        </w:rPr>
        <w:t>（一）表头应当含有资产或负债类型（会计科目）名称、被评估单位、评估基准日、表号、金额单位、页码。</w:t>
      </w:r>
    </w:p>
    <w:p>
      <w:pPr>
        <w:spacing w:after="0" w:line="309" w:lineRule="exact"/>
        <w:rPr>
          <w:sz w:val="20"/>
          <w:szCs w:val="20"/>
          <w:color w:val="auto"/>
        </w:rPr>
      </w:pPr>
    </w:p>
    <w:p>
      <w:pPr>
        <w:jc w:val="both"/>
        <w:ind w:left="360" w:right="366" w:firstLine="641"/>
        <w:spacing w:after="0" w:line="522" w:lineRule="exact"/>
        <w:rPr>
          <w:sz w:val="20"/>
          <w:szCs w:val="20"/>
          <w:color w:val="auto"/>
        </w:rPr>
      </w:pPr>
      <w:r>
        <w:rPr>
          <w:rFonts w:ascii="宋体" w:cs="宋体" w:eastAsia="宋体" w:hAnsi="宋体"/>
          <w:sz w:val="31"/>
          <w:szCs w:val="31"/>
          <w:color w:val="auto"/>
        </w:rPr>
        <w:t>（二）表中应当含有资产负债的名称（明细）、经营业务或者事项内容、技术参数、发生（购、建、创）日期、账面价值、评估价值、评估增减幅度及备注等基本内容。</w:t>
      </w:r>
    </w:p>
    <w:p>
      <w:pPr>
        <w:spacing w:after="0" w:line="307" w:lineRule="exact"/>
        <w:rPr>
          <w:sz w:val="20"/>
          <w:szCs w:val="20"/>
          <w:color w:val="auto"/>
        </w:rPr>
      </w:pPr>
    </w:p>
    <w:p>
      <w:pPr>
        <w:jc w:val="both"/>
        <w:ind w:left="360" w:right="366" w:firstLine="641"/>
        <w:spacing w:after="0" w:line="470" w:lineRule="exact"/>
        <w:rPr>
          <w:sz w:val="20"/>
          <w:szCs w:val="20"/>
          <w:color w:val="auto"/>
        </w:rPr>
      </w:pPr>
      <w:r>
        <w:rPr>
          <w:rFonts w:ascii="宋体" w:cs="宋体" w:eastAsia="宋体" w:hAnsi="宋体"/>
          <w:sz w:val="32"/>
          <w:szCs w:val="32"/>
          <w:color w:val="auto"/>
        </w:rPr>
        <w:t>（三）表尾应当标明被评估单位填表人员、填表日期和评估人员。</w:t>
      </w:r>
    </w:p>
    <w:p>
      <w:pPr>
        <w:spacing w:after="0" w:line="309" w:lineRule="exact"/>
        <w:rPr>
          <w:sz w:val="20"/>
          <w:szCs w:val="20"/>
          <w:color w:val="auto"/>
        </w:rPr>
      </w:pPr>
    </w:p>
    <w:p>
      <w:pPr>
        <w:ind w:left="360" w:right="206" w:firstLine="641"/>
        <w:spacing w:after="0" w:line="522" w:lineRule="exact"/>
        <w:rPr>
          <w:sz w:val="20"/>
          <w:szCs w:val="20"/>
          <w:color w:val="auto"/>
        </w:rPr>
      </w:pPr>
      <w:r>
        <w:rPr>
          <w:rFonts w:ascii="宋体" w:cs="宋体" w:eastAsia="宋体" w:hAnsi="宋体"/>
          <w:sz w:val="32"/>
          <w:szCs w:val="32"/>
          <w:color w:val="auto"/>
        </w:rPr>
        <w:t>（四）评估明细表按会计明细科目、一级科目逐级汇总，并编制资产负债表的评估汇总表及以人民币万元为金额单位的评估结果汇总表。</w:t>
      </w:r>
    </w:p>
    <w:p>
      <w:pPr>
        <w:spacing w:after="0" w:line="307" w:lineRule="exact"/>
        <w:rPr>
          <w:sz w:val="20"/>
          <w:szCs w:val="20"/>
          <w:color w:val="auto"/>
        </w:rPr>
      </w:pPr>
    </w:p>
    <w:p>
      <w:pPr>
        <w:ind w:left="360" w:right="366" w:firstLine="641"/>
        <w:spacing w:after="0" w:line="470" w:lineRule="exact"/>
        <w:rPr>
          <w:sz w:val="20"/>
          <w:szCs w:val="20"/>
          <w:color w:val="auto"/>
        </w:rPr>
      </w:pPr>
      <w:r>
        <w:rPr>
          <w:rFonts w:ascii="宋体" w:cs="宋体" w:eastAsia="宋体" w:hAnsi="宋体"/>
          <w:sz w:val="32"/>
          <w:szCs w:val="32"/>
          <w:color w:val="auto"/>
        </w:rPr>
        <w:t>（五）会计计提的减值准备在相应会计科目合计项下和相关科目汇总表中列示。</w:t>
      </w:r>
    </w:p>
    <w:p>
      <w:pPr>
        <w:spacing w:after="0" w:line="272" w:lineRule="exact"/>
        <w:rPr>
          <w:sz w:val="20"/>
          <w:szCs w:val="20"/>
          <w:color w:val="auto"/>
        </w:rPr>
      </w:pPr>
    </w:p>
    <w:p>
      <w:pPr>
        <w:ind w:left="1000"/>
        <w:spacing w:after="0" w:line="354" w:lineRule="exact"/>
        <w:rPr>
          <w:sz w:val="20"/>
          <w:szCs w:val="20"/>
          <w:color w:val="auto"/>
        </w:rPr>
      </w:pPr>
      <w:r>
        <w:rPr>
          <w:rFonts w:ascii="宋体" w:cs="宋体" w:eastAsia="宋体" w:hAnsi="宋体"/>
          <w:sz w:val="31"/>
          <w:szCs w:val="31"/>
          <w:color w:val="auto"/>
        </w:rPr>
        <w:t>（六）评估结果汇总表应当按以下顺序和项目内容列示：</w:t>
      </w:r>
    </w:p>
    <w:p>
      <w:pPr>
        <w:spacing w:after="0" w:line="259"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资产、负债、净资产等类别和项目。</w:t>
      </w:r>
    </w:p>
    <w:p>
      <w:pPr>
        <w:spacing w:after="0" w:line="259" w:lineRule="exact"/>
        <w:rPr>
          <w:sz w:val="20"/>
          <w:szCs w:val="20"/>
          <w:color w:val="auto"/>
        </w:rPr>
      </w:pPr>
    </w:p>
    <w:p>
      <w:pPr>
        <w:ind w:left="1000"/>
        <w:spacing w:after="0" w:line="366" w:lineRule="exact"/>
        <w:tabs>
          <w:tab w:leader="none" w:pos="2920" w:val="left"/>
        </w:tabs>
        <w:rPr>
          <w:sz w:val="20"/>
          <w:szCs w:val="20"/>
          <w:color w:val="auto"/>
        </w:rPr>
      </w:pPr>
      <w:r>
        <w:rPr>
          <w:rFonts w:ascii="宋体" w:cs="宋体" w:eastAsia="宋体" w:hAnsi="宋体"/>
          <w:sz w:val="32"/>
          <w:szCs w:val="32"/>
          <w:b w:val="1"/>
          <w:bCs w:val="1"/>
          <w:color w:val="auto"/>
        </w:rPr>
        <w:t>第三十二条</w:t>
      </w:r>
      <w:r>
        <w:rPr>
          <w:sz w:val="20"/>
          <w:szCs w:val="20"/>
          <w:color w:val="auto"/>
        </w:rPr>
        <w:tab/>
      </w:r>
      <w:r>
        <w:rPr>
          <w:rFonts w:ascii="宋体" w:cs="宋体" w:eastAsia="宋体" w:hAnsi="宋体"/>
          <w:sz w:val="32"/>
          <w:szCs w:val="32"/>
          <w:color w:val="auto"/>
        </w:rPr>
        <w:t>不同类型金融企业业务模式不同，适用的</w:t>
      </w:r>
    </w:p>
    <w:p>
      <w:pPr>
        <w:spacing w:after="0" w:line="259"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收益法评估明细表也有所区别。</w:t>
      </w:r>
    </w:p>
    <w:p>
      <w:pPr>
        <w:spacing w:after="0" w:line="259" w:lineRule="exact"/>
        <w:rPr>
          <w:sz w:val="20"/>
          <w:szCs w:val="20"/>
          <w:color w:val="auto"/>
        </w:rPr>
      </w:pPr>
    </w:p>
    <w:p>
      <w:pPr>
        <w:ind w:left="1000"/>
        <w:spacing w:after="0" w:line="366" w:lineRule="exact"/>
        <w:rPr>
          <w:sz w:val="20"/>
          <w:szCs w:val="20"/>
          <w:color w:val="auto"/>
        </w:rPr>
      </w:pPr>
      <w:r>
        <w:rPr>
          <w:rFonts w:ascii="宋体" w:cs="宋体" w:eastAsia="宋体" w:hAnsi="宋体"/>
          <w:sz w:val="32"/>
          <w:szCs w:val="32"/>
          <w:color w:val="auto"/>
        </w:rPr>
        <w:t>（一）采用股权自由现金流折现模型，通常编制财务报</w:t>
      </w:r>
    </w:p>
    <w:p>
      <w:pPr>
        <w:spacing w:after="0" w:line="259"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表调整表（如果有调整）、现金流量测算表、收入预测表、</w:t>
      </w:r>
    </w:p>
    <w:p>
      <w:pPr>
        <w:spacing w:after="0" w:line="259"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支出预测表、所有者权益变动表、其他综合收益预测表、折</w:t>
      </w:r>
    </w:p>
    <w:p>
      <w:pPr>
        <w:spacing w:after="0" w:line="260"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现率测算表。</w:t>
      </w:r>
    </w:p>
    <w:p>
      <w:pPr>
        <w:spacing w:after="0" w:line="259" w:lineRule="exact"/>
        <w:rPr>
          <w:sz w:val="20"/>
          <w:szCs w:val="20"/>
          <w:color w:val="auto"/>
        </w:rPr>
      </w:pPr>
    </w:p>
    <w:p>
      <w:pPr>
        <w:ind w:left="1000"/>
        <w:spacing w:after="0" w:line="366" w:lineRule="exact"/>
        <w:rPr>
          <w:sz w:val="20"/>
          <w:szCs w:val="20"/>
          <w:color w:val="auto"/>
        </w:rPr>
      </w:pPr>
      <w:r>
        <w:rPr>
          <w:rFonts w:ascii="宋体" w:cs="宋体" w:eastAsia="宋体" w:hAnsi="宋体"/>
          <w:sz w:val="32"/>
          <w:szCs w:val="32"/>
          <w:color w:val="auto"/>
        </w:rPr>
        <w:t>（二）采用企业自由现金流折现模型，通常编制财务报</w:t>
      </w:r>
    </w:p>
    <w:p>
      <w:pPr>
        <w:spacing w:after="0" w:line="259"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表调整表（如果有调整）、现金流量测算表、收入预测表、</w:t>
      </w:r>
    </w:p>
    <w:p>
      <w:pPr>
        <w:sectPr>
          <w:pgSz w:w="11900" w:h="16838" w:orient="portrait"/>
          <w:cols w:equalWidth="0" w:num="1">
            <w:col w:w="9026"/>
          </w:cols>
          <w:pgMar w:left="1440" w:top="1440" w:right="1440" w:bottom="1440" w:gutter="0" w:footer="0" w:header="0"/>
        </w:sectPr>
      </w:pPr>
    </w:p>
    <w:bookmarkStart w:id="14" w:name="page15"/>
    <w:bookmarkEnd w:id="14"/>
    <w:p>
      <w:pPr>
        <w:spacing w:after="0" w:line="104"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支出预测表、折旧摊销预测表、资本性支出预测表、净流动</w:t>
      </w:r>
    </w:p>
    <w:p>
      <w:pPr>
        <w:spacing w:after="0" w:line="259"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资金增加额预测表、折现率测算表。</w:t>
      </w:r>
    </w:p>
    <w:p>
      <w:pPr>
        <w:spacing w:after="0" w:line="259" w:lineRule="exact"/>
        <w:rPr>
          <w:sz w:val="20"/>
          <w:szCs w:val="20"/>
          <w:color w:val="auto"/>
        </w:rPr>
      </w:pPr>
    </w:p>
    <w:p>
      <w:pPr>
        <w:ind w:left="1000"/>
        <w:spacing w:after="0" w:line="366" w:lineRule="exact"/>
        <w:tabs>
          <w:tab w:leader="none" w:pos="2920" w:val="left"/>
        </w:tabs>
        <w:rPr>
          <w:sz w:val="20"/>
          <w:szCs w:val="20"/>
          <w:color w:val="auto"/>
        </w:rPr>
      </w:pPr>
      <w:r>
        <w:rPr>
          <w:rFonts w:ascii="宋体" w:cs="宋体" w:eastAsia="宋体" w:hAnsi="宋体"/>
          <w:sz w:val="32"/>
          <w:szCs w:val="32"/>
          <w:b w:val="1"/>
          <w:bCs w:val="1"/>
          <w:color w:val="auto"/>
        </w:rPr>
        <w:t>第三十三条</w:t>
      </w:r>
      <w:r>
        <w:rPr>
          <w:sz w:val="20"/>
          <w:szCs w:val="20"/>
          <w:color w:val="auto"/>
        </w:rPr>
        <w:tab/>
      </w:r>
      <w:r>
        <w:rPr>
          <w:rFonts w:ascii="宋体" w:cs="宋体" w:eastAsia="宋体" w:hAnsi="宋体"/>
          <w:sz w:val="32"/>
          <w:szCs w:val="32"/>
          <w:color w:val="auto"/>
        </w:rPr>
        <w:t>收益法评估明细表表头应当含有评估参</w:t>
      </w:r>
    </w:p>
    <w:p>
      <w:pPr>
        <w:spacing w:after="0" w:line="259"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数或者预测项目名称、被评估单位、评估基准日、表号、金</w:t>
      </w:r>
    </w:p>
    <w:p>
      <w:pPr>
        <w:spacing w:after="0" w:line="259"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额单位等。</w:t>
      </w:r>
    </w:p>
    <w:p>
      <w:pPr>
        <w:spacing w:after="0" w:line="259" w:lineRule="exact"/>
        <w:rPr>
          <w:sz w:val="20"/>
          <w:szCs w:val="20"/>
          <w:color w:val="auto"/>
        </w:rPr>
      </w:pPr>
    </w:p>
    <w:p>
      <w:pPr>
        <w:ind w:left="1000"/>
        <w:spacing w:after="0" w:line="366" w:lineRule="exact"/>
        <w:tabs>
          <w:tab w:leader="none" w:pos="2920" w:val="left"/>
        </w:tabs>
        <w:rPr>
          <w:sz w:val="20"/>
          <w:szCs w:val="20"/>
          <w:color w:val="auto"/>
        </w:rPr>
      </w:pPr>
      <w:r>
        <w:rPr>
          <w:rFonts w:ascii="宋体" w:cs="宋体" w:eastAsia="宋体" w:hAnsi="宋体"/>
          <w:sz w:val="32"/>
          <w:szCs w:val="32"/>
          <w:b w:val="1"/>
          <w:bCs w:val="1"/>
          <w:color w:val="auto"/>
        </w:rPr>
        <w:t>第三十四条</w:t>
      </w:r>
      <w:r>
        <w:rPr>
          <w:sz w:val="20"/>
          <w:szCs w:val="20"/>
          <w:color w:val="auto"/>
        </w:rPr>
        <w:tab/>
      </w:r>
      <w:r>
        <w:rPr>
          <w:rFonts w:ascii="宋体" w:cs="宋体" w:eastAsia="宋体" w:hAnsi="宋体"/>
          <w:sz w:val="32"/>
          <w:szCs w:val="32"/>
          <w:color w:val="auto"/>
        </w:rPr>
        <w:t>被评估单位有两家以上分支机构的，评估</w:t>
      </w:r>
    </w:p>
    <w:p>
      <w:pPr>
        <w:spacing w:after="0" w:line="270" w:lineRule="exact"/>
        <w:rPr>
          <w:sz w:val="20"/>
          <w:szCs w:val="20"/>
          <w:color w:val="auto"/>
        </w:rPr>
      </w:pPr>
    </w:p>
    <w:p>
      <w:pPr>
        <w:ind w:left="360"/>
        <w:spacing w:after="0" w:line="354" w:lineRule="exact"/>
        <w:rPr>
          <w:sz w:val="20"/>
          <w:szCs w:val="20"/>
          <w:color w:val="auto"/>
        </w:rPr>
      </w:pPr>
      <w:r>
        <w:rPr>
          <w:rFonts w:ascii="宋体" w:cs="宋体" w:eastAsia="宋体" w:hAnsi="宋体"/>
          <w:sz w:val="31"/>
          <w:szCs w:val="31"/>
          <w:color w:val="auto"/>
        </w:rPr>
        <w:t>明细表应当根据企业的组织架构、核算方式等因素合理编制。</w:t>
      </w:r>
    </w:p>
    <w:p>
      <w:pPr>
        <w:spacing w:after="0" w:line="200" w:lineRule="exact"/>
        <w:rPr>
          <w:sz w:val="20"/>
          <w:szCs w:val="20"/>
          <w:color w:val="auto"/>
        </w:rPr>
      </w:pPr>
    </w:p>
    <w:p>
      <w:pPr>
        <w:spacing w:after="0" w:line="216" w:lineRule="exact"/>
        <w:rPr>
          <w:sz w:val="20"/>
          <w:szCs w:val="20"/>
          <w:color w:val="auto"/>
        </w:rPr>
      </w:pPr>
    </w:p>
    <w:p>
      <w:pPr>
        <w:jc w:val="center"/>
        <w:ind w:right="6"/>
        <w:spacing w:after="0" w:line="366" w:lineRule="exact"/>
        <w:rPr>
          <w:sz w:val="20"/>
          <w:szCs w:val="20"/>
          <w:color w:val="auto"/>
        </w:rPr>
      </w:pPr>
      <w:r>
        <w:rPr>
          <w:rFonts w:ascii="宋体" w:cs="宋体" w:eastAsia="宋体" w:hAnsi="宋体"/>
          <w:sz w:val="32"/>
          <w:szCs w:val="32"/>
          <w:color w:val="auto"/>
        </w:rPr>
        <w:t>第六章 评估说明</w:t>
      </w:r>
    </w:p>
    <w:p>
      <w:pPr>
        <w:spacing w:after="0" w:line="200" w:lineRule="exact"/>
        <w:rPr>
          <w:sz w:val="20"/>
          <w:szCs w:val="20"/>
          <w:color w:val="auto"/>
        </w:rPr>
      </w:pPr>
    </w:p>
    <w:p>
      <w:pPr>
        <w:spacing w:after="0" w:line="215" w:lineRule="exact"/>
        <w:rPr>
          <w:sz w:val="20"/>
          <w:szCs w:val="20"/>
          <w:color w:val="auto"/>
        </w:rPr>
      </w:pPr>
    </w:p>
    <w:p>
      <w:pPr>
        <w:ind w:left="1000"/>
        <w:spacing w:after="0" w:line="366" w:lineRule="exact"/>
        <w:tabs>
          <w:tab w:leader="none" w:pos="2920" w:val="left"/>
        </w:tabs>
        <w:rPr>
          <w:sz w:val="20"/>
          <w:szCs w:val="20"/>
          <w:color w:val="auto"/>
        </w:rPr>
      </w:pPr>
      <w:r>
        <w:rPr>
          <w:rFonts w:ascii="宋体" w:cs="宋体" w:eastAsia="宋体" w:hAnsi="宋体"/>
          <w:sz w:val="32"/>
          <w:szCs w:val="32"/>
          <w:b w:val="1"/>
          <w:bCs w:val="1"/>
          <w:color w:val="auto"/>
        </w:rPr>
        <w:t>第三十五条</w:t>
      </w:r>
      <w:r>
        <w:rPr>
          <w:sz w:val="20"/>
          <w:szCs w:val="20"/>
          <w:color w:val="auto"/>
        </w:rPr>
        <w:tab/>
      </w:r>
      <w:r>
        <w:rPr>
          <w:rFonts w:ascii="宋体" w:cs="宋体" w:eastAsia="宋体" w:hAnsi="宋体"/>
          <w:sz w:val="32"/>
          <w:szCs w:val="32"/>
          <w:color w:val="auto"/>
        </w:rPr>
        <w:t>评估说明包括评估说明使用范围声明、委</w:t>
      </w:r>
    </w:p>
    <w:p>
      <w:pPr>
        <w:spacing w:after="0" w:line="259"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托人和被评估单位编写的《企业关于进行资产评估有关事项</w:t>
      </w:r>
    </w:p>
    <w:p>
      <w:pPr>
        <w:spacing w:after="0" w:line="259"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的说明》和资产评估师编制的《资产评估说明》。</w:t>
      </w:r>
    </w:p>
    <w:p>
      <w:pPr>
        <w:spacing w:after="0" w:line="259" w:lineRule="exact"/>
        <w:rPr>
          <w:sz w:val="20"/>
          <w:szCs w:val="20"/>
          <w:color w:val="auto"/>
        </w:rPr>
      </w:pPr>
    </w:p>
    <w:p>
      <w:pPr>
        <w:ind w:left="1000"/>
        <w:spacing w:after="0" w:line="366" w:lineRule="exact"/>
        <w:tabs>
          <w:tab w:leader="none" w:pos="2920" w:val="left"/>
        </w:tabs>
        <w:rPr>
          <w:sz w:val="20"/>
          <w:szCs w:val="20"/>
          <w:color w:val="auto"/>
        </w:rPr>
      </w:pPr>
      <w:r>
        <w:rPr>
          <w:rFonts w:ascii="宋体" w:cs="宋体" w:eastAsia="宋体" w:hAnsi="宋体"/>
          <w:sz w:val="32"/>
          <w:szCs w:val="32"/>
          <w:b w:val="1"/>
          <w:bCs w:val="1"/>
          <w:color w:val="auto"/>
        </w:rPr>
        <w:t>第三十六条</w:t>
      </w:r>
      <w:r>
        <w:rPr>
          <w:sz w:val="20"/>
          <w:szCs w:val="20"/>
          <w:color w:val="auto"/>
        </w:rPr>
        <w:tab/>
      </w:r>
      <w:r>
        <w:rPr>
          <w:rFonts w:ascii="宋体" w:cs="宋体" w:eastAsia="宋体" w:hAnsi="宋体"/>
          <w:sz w:val="32"/>
          <w:szCs w:val="32"/>
          <w:color w:val="auto"/>
        </w:rPr>
        <w:t>关于评估说明使用范围的声明，应当写明</w:t>
      </w:r>
    </w:p>
    <w:p>
      <w:pPr>
        <w:spacing w:after="0" w:line="259"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评估说明使用单位或者部门的范围及限制条款。</w:t>
      </w:r>
    </w:p>
    <w:p>
      <w:pPr>
        <w:spacing w:after="0" w:line="307" w:lineRule="exact"/>
        <w:rPr>
          <w:sz w:val="20"/>
          <w:szCs w:val="20"/>
          <w:color w:val="auto"/>
        </w:rPr>
      </w:pPr>
    </w:p>
    <w:p>
      <w:pPr>
        <w:ind w:left="360" w:right="506" w:firstLine="643"/>
        <w:spacing w:after="0" w:line="546" w:lineRule="exact"/>
        <w:rPr>
          <w:sz w:val="20"/>
          <w:szCs w:val="20"/>
          <w:color w:val="auto"/>
        </w:rPr>
      </w:pPr>
      <w:r>
        <w:rPr>
          <w:rFonts w:ascii="宋体" w:cs="宋体" w:eastAsia="宋体" w:hAnsi="宋体"/>
          <w:sz w:val="32"/>
          <w:szCs w:val="32"/>
          <w:b w:val="1"/>
          <w:bCs w:val="1"/>
          <w:color w:val="auto"/>
        </w:rPr>
        <w:t xml:space="preserve">第三十七条 </w:t>
      </w:r>
      <w:r>
        <w:rPr>
          <w:rFonts w:ascii="宋体" w:cs="宋体" w:eastAsia="宋体" w:hAnsi="宋体"/>
          <w:sz w:val="32"/>
          <w:szCs w:val="32"/>
          <w:color w:val="auto"/>
        </w:rPr>
        <w:t>委托人和被评估单位可以共同编写或者分别编写《企业关于进行资产评估有关事项的说明》。委托人单位负责人和被评估单位负责人应当对所编写的说明签名，加盖相应单位公章并签署日期。</w:t>
      </w:r>
    </w:p>
    <w:p>
      <w:pPr>
        <w:spacing w:after="0" w:line="264" w:lineRule="exact"/>
        <w:rPr>
          <w:sz w:val="20"/>
          <w:szCs w:val="20"/>
          <w:color w:val="auto"/>
        </w:rPr>
      </w:pPr>
    </w:p>
    <w:p>
      <w:pPr>
        <w:ind w:left="1000"/>
        <w:spacing w:after="0" w:line="366" w:lineRule="exact"/>
        <w:rPr>
          <w:sz w:val="20"/>
          <w:szCs w:val="20"/>
          <w:color w:val="auto"/>
        </w:rPr>
      </w:pPr>
      <w:r>
        <w:rPr>
          <w:rFonts w:ascii="宋体" w:cs="宋体" w:eastAsia="宋体" w:hAnsi="宋体"/>
          <w:sz w:val="32"/>
          <w:szCs w:val="32"/>
          <w:color w:val="auto"/>
        </w:rPr>
        <w:t>《企业关于进行资产评估有关事项的说明》包括以下内</w:t>
      </w:r>
    </w:p>
    <w:p>
      <w:pPr>
        <w:spacing w:after="0" w:line="260"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容：</w:t>
      </w:r>
    </w:p>
    <w:p>
      <w:pPr>
        <w:spacing w:after="0" w:line="259" w:lineRule="exact"/>
        <w:rPr>
          <w:sz w:val="20"/>
          <w:szCs w:val="20"/>
          <w:color w:val="auto"/>
        </w:rPr>
      </w:pPr>
    </w:p>
    <w:p>
      <w:pPr>
        <w:ind w:left="1000"/>
        <w:spacing w:after="0" w:line="366" w:lineRule="exact"/>
        <w:rPr>
          <w:sz w:val="20"/>
          <w:szCs w:val="20"/>
          <w:color w:val="auto"/>
        </w:rPr>
      </w:pPr>
      <w:r>
        <w:rPr>
          <w:rFonts w:ascii="宋体" w:cs="宋体" w:eastAsia="宋体" w:hAnsi="宋体"/>
          <w:sz w:val="32"/>
          <w:szCs w:val="32"/>
          <w:color w:val="auto"/>
        </w:rPr>
        <w:t>（一）委托人、被评估单位各自概况；</w:t>
      </w:r>
    </w:p>
    <w:p>
      <w:pPr>
        <w:spacing w:after="0" w:line="259" w:lineRule="exact"/>
        <w:rPr>
          <w:sz w:val="20"/>
          <w:szCs w:val="20"/>
          <w:color w:val="auto"/>
        </w:rPr>
      </w:pPr>
    </w:p>
    <w:p>
      <w:pPr>
        <w:ind w:left="1000"/>
        <w:spacing w:after="0" w:line="366" w:lineRule="exact"/>
        <w:rPr>
          <w:sz w:val="20"/>
          <w:szCs w:val="20"/>
          <w:color w:val="auto"/>
        </w:rPr>
      </w:pPr>
      <w:r>
        <w:rPr>
          <w:rFonts w:ascii="宋体" w:cs="宋体" w:eastAsia="宋体" w:hAnsi="宋体"/>
          <w:sz w:val="32"/>
          <w:szCs w:val="32"/>
          <w:color w:val="auto"/>
        </w:rPr>
        <w:t>（二）关于经济行为的说明；</w:t>
      </w:r>
    </w:p>
    <w:p>
      <w:pPr>
        <w:spacing w:after="0" w:line="259" w:lineRule="exact"/>
        <w:rPr>
          <w:sz w:val="20"/>
          <w:szCs w:val="20"/>
          <w:color w:val="auto"/>
        </w:rPr>
      </w:pPr>
    </w:p>
    <w:p>
      <w:pPr>
        <w:ind w:left="1000"/>
        <w:spacing w:after="0" w:line="366" w:lineRule="exact"/>
        <w:rPr>
          <w:sz w:val="20"/>
          <w:szCs w:val="20"/>
          <w:color w:val="auto"/>
        </w:rPr>
      </w:pPr>
      <w:r>
        <w:rPr>
          <w:rFonts w:ascii="宋体" w:cs="宋体" w:eastAsia="宋体" w:hAnsi="宋体"/>
          <w:sz w:val="32"/>
          <w:szCs w:val="32"/>
          <w:color w:val="auto"/>
        </w:rPr>
        <w:t>（三）关于评估对象与评估范围的说明；</w:t>
      </w:r>
    </w:p>
    <w:p>
      <w:pPr>
        <w:sectPr>
          <w:pgSz w:w="11900" w:h="16838" w:orient="portrait"/>
          <w:cols w:equalWidth="0" w:num="1">
            <w:col w:w="9026"/>
          </w:cols>
          <w:pgMar w:left="1440" w:top="1440" w:right="1440" w:bottom="947" w:gutter="0" w:footer="0" w:header="0"/>
        </w:sectPr>
      </w:pPr>
    </w:p>
    <w:bookmarkStart w:id="15" w:name="page16"/>
    <w:bookmarkEnd w:id="15"/>
    <w:p>
      <w:pPr>
        <w:spacing w:after="0" w:line="104" w:lineRule="exact"/>
        <w:rPr>
          <w:sz w:val="20"/>
          <w:szCs w:val="20"/>
          <w:color w:val="auto"/>
        </w:rPr>
      </w:pPr>
    </w:p>
    <w:p>
      <w:pPr>
        <w:ind w:left="1000"/>
        <w:spacing w:after="0" w:line="366" w:lineRule="exact"/>
        <w:rPr>
          <w:sz w:val="20"/>
          <w:szCs w:val="20"/>
          <w:color w:val="auto"/>
        </w:rPr>
      </w:pPr>
      <w:r>
        <w:rPr>
          <w:rFonts w:ascii="宋体" w:cs="宋体" w:eastAsia="宋体" w:hAnsi="宋体"/>
          <w:sz w:val="32"/>
          <w:szCs w:val="32"/>
          <w:color w:val="auto"/>
        </w:rPr>
        <w:t>（四）关于评估基准日的说明；</w:t>
      </w:r>
    </w:p>
    <w:p>
      <w:pPr>
        <w:spacing w:after="0" w:line="259" w:lineRule="exact"/>
        <w:rPr>
          <w:sz w:val="20"/>
          <w:szCs w:val="20"/>
          <w:color w:val="auto"/>
        </w:rPr>
      </w:pPr>
    </w:p>
    <w:p>
      <w:pPr>
        <w:ind w:left="1000"/>
        <w:spacing w:after="0" w:line="366" w:lineRule="exact"/>
        <w:rPr>
          <w:sz w:val="20"/>
          <w:szCs w:val="20"/>
          <w:color w:val="auto"/>
        </w:rPr>
      </w:pPr>
      <w:r>
        <w:rPr>
          <w:rFonts w:ascii="宋体" w:cs="宋体" w:eastAsia="宋体" w:hAnsi="宋体"/>
          <w:sz w:val="32"/>
          <w:szCs w:val="32"/>
          <w:color w:val="auto"/>
        </w:rPr>
        <w:t>（五）可能影响评估工作的重大事项说明；</w:t>
      </w:r>
    </w:p>
    <w:p>
      <w:pPr>
        <w:spacing w:after="0" w:line="259" w:lineRule="exact"/>
        <w:rPr>
          <w:sz w:val="20"/>
          <w:szCs w:val="20"/>
          <w:color w:val="auto"/>
        </w:rPr>
      </w:pPr>
    </w:p>
    <w:p>
      <w:pPr>
        <w:ind w:left="1000"/>
        <w:spacing w:after="0" w:line="366" w:lineRule="exact"/>
        <w:rPr>
          <w:sz w:val="20"/>
          <w:szCs w:val="20"/>
          <w:color w:val="auto"/>
        </w:rPr>
      </w:pPr>
      <w:r>
        <w:rPr>
          <w:rFonts w:ascii="宋体" w:cs="宋体" w:eastAsia="宋体" w:hAnsi="宋体"/>
          <w:sz w:val="32"/>
          <w:szCs w:val="32"/>
          <w:color w:val="auto"/>
        </w:rPr>
        <w:t>（六）资产负债情况、未来经营和收益状况预测说明；</w:t>
      </w:r>
    </w:p>
    <w:p>
      <w:pPr>
        <w:spacing w:after="0" w:line="259" w:lineRule="exact"/>
        <w:rPr>
          <w:sz w:val="20"/>
          <w:szCs w:val="20"/>
          <w:color w:val="auto"/>
        </w:rPr>
      </w:pPr>
    </w:p>
    <w:p>
      <w:pPr>
        <w:ind w:left="1000"/>
        <w:spacing w:after="0" w:line="366" w:lineRule="exact"/>
        <w:rPr>
          <w:sz w:val="20"/>
          <w:szCs w:val="20"/>
          <w:color w:val="auto"/>
        </w:rPr>
      </w:pPr>
      <w:r>
        <w:rPr>
          <w:rFonts w:ascii="宋体" w:cs="宋体" w:eastAsia="宋体" w:hAnsi="宋体"/>
          <w:sz w:val="32"/>
          <w:szCs w:val="32"/>
          <w:color w:val="auto"/>
        </w:rPr>
        <w:t>（七）资料清单。</w:t>
      </w:r>
    </w:p>
    <w:p>
      <w:pPr>
        <w:spacing w:after="0" w:line="259" w:lineRule="exact"/>
        <w:rPr>
          <w:sz w:val="20"/>
          <w:szCs w:val="20"/>
          <w:color w:val="auto"/>
        </w:rPr>
      </w:pPr>
    </w:p>
    <w:p>
      <w:pPr>
        <w:ind w:left="1000"/>
        <w:spacing w:after="0" w:line="366" w:lineRule="exact"/>
        <w:tabs>
          <w:tab w:leader="none" w:pos="2920" w:val="left"/>
        </w:tabs>
        <w:rPr>
          <w:sz w:val="20"/>
          <w:szCs w:val="20"/>
          <w:color w:val="auto"/>
        </w:rPr>
      </w:pPr>
      <w:r>
        <w:rPr>
          <w:rFonts w:ascii="宋体" w:cs="宋体" w:eastAsia="宋体" w:hAnsi="宋体"/>
          <w:sz w:val="32"/>
          <w:szCs w:val="32"/>
          <w:b w:val="1"/>
          <w:bCs w:val="1"/>
          <w:color w:val="auto"/>
        </w:rPr>
        <w:t>第三十八条</w:t>
      </w:r>
      <w:r>
        <w:rPr>
          <w:sz w:val="20"/>
          <w:szCs w:val="20"/>
          <w:color w:val="auto"/>
        </w:rPr>
        <w:tab/>
      </w:r>
      <w:r>
        <w:rPr>
          <w:rFonts w:ascii="宋体" w:cs="宋体" w:eastAsia="宋体" w:hAnsi="宋体"/>
          <w:sz w:val="32"/>
          <w:szCs w:val="32"/>
          <w:color w:val="auto"/>
        </w:rPr>
        <w:t>资产评估说明是对评估对象进行核实、评</w:t>
      </w:r>
    </w:p>
    <w:p>
      <w:pPr>
        <w:spacing w:after="0" w:line="259"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定估算过程的详细说明，应当包括以下内容：</w:t>
      </w:r>
    </w:p>
    <w:p>
      <w:pPr>
        <w:spacing w:after="0" w:line="259" w:lineRule="exact"/>
        <w:rPr>
          <w:sz w:val="20"/>
          <w:szCs w:val="20"/>
          <w:color w:val="auto"/>
        </w:rPr>
      </w:pPr>
    </w:p>
    <w:p>
      <w:pPr>
        <w:ind w:left="1000"/>
        <w:spacing w:after="0" w:line="366" w:lineRule="exact"/>
        <w:rPr>
          <w:sz w:val="20"/>
          <w:szCs w:val="20"/>
          <w:color w:val="auto"/>
        </w:rPr>
      </w:pPr>
      <w:r>
        <w:rPr>
          <w:rFonts w:ascii="宋体" w:cs="宋体" w:eastAsia="宋体" w:hAnsi="宋体"/>
          <w:sz w:val="32"/>
          <w:szCs w:val="32"/>
          <w:color w:val="auto"/>
        </w:rPr>
        <w:t>（一）评估对象与评估范围说明；</w:t>
      </w:r>
    </w:p>
    <w:p>
      <w:pPr>
        <w:spacing w:after="0" w:line="260" w:lineRule="exact"/>
        <w:rPr>
          <w:sz w:val="20"/>
          <w:szCs w:val="20"/>
          <w:color w:val="auto"/>
        </w:rPr>
      </w:pPr>
    </w:p>
    <w:p>
      <w:pPr>
        <w:ind w:left="1000"/>
        <w:spacing w:after="0" w:line="366" w:lineRule="exact"/>
        <w:rPr>
          <w:sz w:val="20"/>
          <w:szCs w:val="20"/>
          <w:color w:val="auto"/>
        </w:rPr>
      </w:pPr>
      <w:r>
        <w:rPr>
          <w:rFonts w:ascii="宋体" w:cs="宋体" w:eastAsia="宋体" w:hAnsi="宋体"/>
          <w:sz w:val="32"/>
          <w:szCs w:val="32"/>
          <w:color w:val="auto"/>
        </w:rPr>
        <w:t>（二）资产核实总体情况说明；</w:t>
      </w:r>
    </w:p>
    <w:p>
      <w:pPr>
        <w:spacing w:after="0" w:line="259" w:lineRule="exact"/>
        <w:rPr>
          <w:sz w:val="20"/>
          <w:szCs w:val="20"/>
          <w:color w:val="auto"/>
        </w:rPr>
      </w:pPr>
    </w:p>
    <w:p>
      <w:pPr>
        <w:ind w:left="1000"/>
        <w:spacing w:after="0" w:line="366" w:lineRule="exact"/>
        <w:rPr>
          <w:sz w:val="20"/>
          <w:szCs w:val="20"/>
          <w:color w:val="auto"/>
        </w:rPr>
      </w:pPr>
      <w:r>
        <w:rPr>
          <w:rFonts w:ascii="宋体" w:cs="宋体" w:eastAsia="宋体" w:hAnsi="宋体"/>
          <w:sz w:val="32"/>
          <w:szCs w:val="32"/>
          <w:color w:val="auto"/>
        </w:rPr>
        <w:t>（三）评估技术说明；</w:t>
      </w:r>
    </w:p>
    <w:p>
      <w:pPr>
        <w:spacing w:after="0" w:line="259" w:lineRule="exact"/>
        <w:rPr>
          <w:sz w:val="20"/>
          <w:szCs w:val="20"/>
          <w:color w:val="auto"/>
        </w:rPr>
      </w:pPr>
    </w:p>
    <w:p>
      <w:pPr>
        <w:ind w:left="1000"/>
        <w:spacing w:after="0" w:line="366" w:lineRule="exact"/>
        <w:rPr>
          <w:sz w:val="20"/>
          <w:szCs w:val="20"/>
          <w:color w:val="auto"/>
        </w:rPr>
      </w:pPr>
      <w:r>
        <w:rPr>
          <w:rFonts w:ascii="宋体" w:cs="宋体" w:eastAsia="宋体" w:hAnsi="宋体"/>
          <w:sz w:val="32"/>
          <w:szCs w:val="32"/>
          <w:color w:val="auto"/>
        </w:rPr>
        <w:t>（四）评估结论及分析。</w:t>
      </w:r>
    </w:p>
    <w:p>
      <w:pPr>
        <w:spacing w:after="0" w:line="259" w:lineRule="exact"/>
        <w:rPr>
          <w:sz w:val="20"/>
          <w:szCs w:val="20"/>
          <w:color w:val="auto"/>
        </w:rPr>
      </w:pPr>
    </w:p>
    <w:p>
      <w:pPr>
        <w:ind w:left="1000"/>
        <w:spacing w:after="0" w:line="366" w:lineRule="exact"/>
        <w:tabs>
          <w:tab w:leader="none" w:pos="2920" w:val="left"/>
        </w:tabs>
        <w:rPr>
          <w:sz w:val="20"/>
          <w:szCs w:val="20"/>
          <w:color w:val="auto"/>
        </w:rPr>
      </w:pPr>
      <w:r>
        <w:rPr>
          <w:rFonts w:ascii="宋体" w:cs="宋体" w:eastAsia="宋体" w:hAnsi="宋体"/>
          <w:sz w:val="32"/>
          <w:szCs w:val="32"/>
          <w:b w:val="1"/>
          <w:bCs w:val="1"/>
          <w:color w:val="auto"/>
        </w:rPr>
        <w:t>第三十九条</w:t>
      </w:r>
      <w:r>
        <w:rPr>
          <w:sz w:val="20"/>
          <w:szCs w:val="20"/>
          <w:color w:val="auto"/>
        </w:rPr>
        <w:tab/>
      </w:r>
      <w:r>
        <w:rPr>
          <w:rFonts w:ascii="宋体" w:cs="宋体" w:eastAsia="宋体" w:hAnsi="宋体"/>
          <w:sz w:val="32"/>
          <w:szCs w:val="32"/>
          <w:color w:val="auto"/>
        </w:rPr>
        <w:t>评估对象与评估范围说明应当根据企业</w:t>
      </w:r>
    </w:p>
    <w:p>
      <w:pPr>
        <w:spacing w:after="0" w:line="259"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价值评估、单项资产或者资产组合评估的不同情况确定内容</w:t>
      </w:r>
    </w:p>
    <w:p>
      <w:pPr>
        <w:spacing w:after="0" w:line="259"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的详略程度。</w:t>
      </w:r>
    </w:p>
    <w:p>
      <w:pPr>
        <w:spacing w:after="0" w:line="259" w:lineRule="exact"/>
        <w:rPr>
          <w:sz w:val="20"/>
          <w:szCs w:val="20"/>
          <w:color w:val="auto"/>
        </w:rPr>
      </w:pPr>
    </w:p>
    <w:p>
      <w:pPr>
        <w:ind w:left="1000"/>
        <w:spacing w:after="0" w:line="366" w:lineRule="exact"/>
        <w:tabs>
          <w:tab w:leader="none" w:pos="2620" w:val="left"/>
        </w:tabs>
        <w:rPr>
          <w:sz w:val="20"/>
          <w:szCs w:val="20"/>
          <w:color w:val="auto"/>
        </w:rPr>
      </w:pPr>
      <w:r>
        <w:rPr>
          <w:rFonts w:ascii="宋体" w:cs="宋体" w:eastAsia="宋体" w:hAnsi="宋体"/>
          <w:sz w:val="32"/>
          <w:szCs w:val="32"/>
          <w:b w:val="1"/>
          <w:bCs w:val="1"/>
          <w:color w:val="auto"/>
        </w:rPr>
        <w:t>第四十条</w:t>
      </w:r>
      <w:r>
        <w:rPr>
          <w:sz w:val="20"/>
          <w:szCs w:val="20"/>
          <w:color w:val="auto"/>
        </w:rPr>
        <w:tab/>
      </w:r>
      <w:r>
        <w:rPr>
          <w:rFonts w:ascii="宋体" w:cs="宋体" w:eastAsia="宋体" w:hAnsi="宋体"/>
          <w:sz w:val="32"/>
          <w:szCs w:val="32"/>
          <w:color w:val="auto"/>
        </w:rPr>
        <w:t>资产核实总体情况说明通常包括人员组织、</w:t>
      </w:r>
    </w:p>
    <w:p>
      <w:pPr>
        <w:spacing w:after="0" w:line="259"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实施时间、核实过程、影响事项及处理方法、核实结论等。</w:t>
      </w:r>
    </w:p>
    <w:p>
      <w:pPr>
        <w:spacing w:after="0" w:line="259" w:lineRule="exact"/>
        <w:rPr>
          <w:sz w:val="20"/>
          <w:szCs w:val="20"/>
          <w:color w:val="auto"/>
        </w:rPr>
      </w:pPr>
    </w:p>
    <w:p>
      <w:pPr>
        <w:ind w:left="1000"/>
        <w:spacing w:after="0" w:line="366" w:lineRule="exact"/>
        <w:tabs>
          <w:tab w:leader="none" w:pos="2920" w:val="left"/>
        </w:tabs>
        <w:rPr>
          <w:sz w:val="20"/>
          <w:szCs w:val="20"/>
          <w:color w:val="auto"/>
        </w:rPr>
      </w:pPr>
      <w:r>
        <w:rPr>
          <w:rFonts w:ascii="宋体" w:cs="宋体" w:eastAsia="宋体" w:hAnsi="宋体"/>
          <w:sz w:val="32"/>
          <w:szCs w:val="32"/>
          <w:b w:val="1"/>
          <w:bCs w:val="1"/>
          <w:color w:val="auto"/>
        </w:rPr>
        <w:t>第四十一条</w:t>
      </w:r>
      <w:r>
        <w:rPr>
          <w:sz w:val="20"/>
          <w:szCs w:val="20"/>
          <w:color w:val="auto"/>
        </w:rPr>
        <w:tab/>
      </w:r>
      <w:r>
        <w:rPr>
          <w:rFonts w:ascii="宋体" w:cs="宋体" w:eastAsia="宋体" w:hAnsi="宋体"/>
          <w:sz w:val="32"/>
          <w:szCs w:val="32"/>
          <w:color w:val="auto"/>
        </w:rPr>
        <w:t>评估技术说明应当考虑不同经济行为和</w:t>
      </w:r>
    </w:p>
    <w:p>
      <w:pPr>
        <w:spacing w:after="0" w:line="259"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不同评估方法的特点介绍评定估算的思路及过程。</w:t>
      </w:r>
    </w:p>
    <w:p>
      <w:pPr>
        <w:spacing w:after="0" w:line="259" w:lineRule="exact"/>
        <w:rPr>
          <w:sz w:val="20"/>
          <w:szCs w:val="20"/>
          <w:color w:val="auto"/>
        </w:rPr>
      </w:pPr>
    </w:p>
    <w:p>
      <w:pPr>
        <w:ind w:left="1000"/>
        <w:spacing w:after="0" w:line="366" w:lineRule="exact"/>
        <w:tabs>
          <w:tab w:leader="none" w:pos="2940" w:val="left"/>
        </w:tabs>
        <w:rPr>
          <w:sz w:val="20"/>
          <w:szCs w:val="20"/>
          <w:color w:val="auto"/>
        </w:rPr>
      </w:pPr>
      <w:r>
        <w:rPr>
          <w:rFonts w:ascii="宋体" w:cs="宋体" w:eastAsia="宋体" w:hAnsi="宋体"/>
          <w:sz w:val="32"/>
          <w:szCs w:val="32"/>
          <w:b w:val="1"/>
          <w:bCs w:val="1"/>
          <w:color w:val="auto"/>
        </w:rPr>
        <w:t>第四十二条</w:t>
      </w:r>
      <w:r>
        <w:rPr>
          <w:sz w:val="20"/>
          <w:szCs w:val="20"/>
          <w:color w:val="auto"/>
        </w:rPr>
        <w:tab/>
      </w:r>
      <w:r>
        <w:rPr>
          <w:rFonts w:ascii="宋体" w:cs="宋体" w:eastAsia="宋体" w:hAnsi="宋体"/>
          <w:sz w:val="32"/>
          <w:szCs w:val="32"/>
          <w:color w:val="auto"/>
        </w:rPr>
        <w:t>采用成本法评估单项资产或者资产组合、</w:t>
      </w:r>
    </w:p>
    <w:p>
      <w:pPr>
        <w:spacing w:after="0" w:line="270" w:lineRule="exact"/>
        <w:rPr>
          <w:sz w:val="20"/>
          <w:szCs w:val="20"/>
          <w:color w:val="auto"/>
        </w:rPr>
      </w:pPr>
    </w:p>
    <w:p>
      <w:pPr>
        <w:jc w:val="center"/>
        <w:ind w:right="6"/>
        <w:spacing w:after="0" w:line="354" w:lineRule="exact"/>
        <w:rPr>
          <w:sz w:val="20"/>
          <w:szCs w:val="20"/>
          <w:color w:val="auto"/>
        </w:rPr>
      </w:pPr>
      <w:r>
        <w:rPr>
          <w:rFonts w:ascii="宋体" w:cs="宋体" w:eastAsia="宋体" w:hAnsi="宋体"/>
          <w:sz w:val="31"/>
          <w:szCs w:val="31"/>
          <w:color w:val="auto"/>
        </w:rPr>
        <w:t>采用资产基础法评估企业价值，应当根据评估业务的具体情</w:t>
      </w:r>
    </w:p>
    <w:p>
      <w:pPr>
        <w:spacing w:after="0" w:line="271" w:lineRule="exact"/>
        <w:rPr>
          <w:sz w:val="20"/>
          <w:szCs w:val="20"/>
          <w:color w:val="auto"/>
        </w:rPr>
      </w:pPr>
    </w:p>
    <w:p>
      <w:pPr>
        <w:jc w:val="center"/>
        <w:ind w:right="6"/>
        <w:spacing w:after="0" w:line="354" w:lineRule="exact"/>
        <w:rPr>
          <w:sz w:val="20"/>
          <w:szCs w:val="20"/>
          <w:color w:val="auto"/>
        </w:rPr>
      </w:pPr>
      <w:r>
        <w:rPr>
          <w:rFonts w:ascii="宋体" w:cs="宋体" w:eastAsia="宋体" w:hAnsi="宋体"/>
          <w:sz w:val="31"/>
          <w:szCs w:val="31"/>
          <w:color w:val="auto"/>
        </w:rPr>
        <w:t>况以及资产负债类型编写评估技术说明。各项资产负债评估</w:t>
      </w:r>
    </w:p>
    <w:p>
      <w:pPr>
        <w:spacing w:after="0" w:line="259"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技术说明应当包含资产负债的内容和金额、核实方法、评估</w:t>
      </w:r>
    </w:p>
    <w:p>
      <w:pPr>
        <w:spacing w:after="0" w:line="259"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值确定的方法和结论等基本内容。</w:t>
      </w:r>
    </w:p>
    <w:p>
      <w:pPr>
        <w:sectPr>
          <w:pgSz w:w="11900" w:h="16838" w:orient="portrait"/>
          <w:cols w:equalWidth="0" w:num="1">
            <w:col w:w="9026"/>
          </w:cols>
          <w:pgMar w:left="1440" w:top="1440" w:right="1440" w:bottom="1440" w:gutter="0" w:footer="0" w:header="0"/>
        </w:sectPr>
      </w:pPr>
    </w:p>
    <w:bookmarkStart w:id="16" w:name="page17"/>
    <w:bookmarkEnd w:id="16"/>
    <w:p>
      <w:pPr>
        <w:spacing w:after="0" w:line="115" w:lineRule="exact"/>
        <w:rPr>
          <w:sz w:val="20"/>
          <w:szCs w:val="20"/>
          <w:color w:val="auto"/>
        </w:rPr>
      </w:pPr>
    </w:p>
    <w:p>
      <w:pPr>
        <w:ind w:left="1000"/>
        <w:spacing w:after="0" w:line="354" w:lineRule="exact"/>
        <w:tabs>
          <w:tab w:leader="none" w:pos="2920" w:val="left"/>
        </w:tabs>
        <w:rPr>
          <w:sz w:val="20"/>
          <w:szCs w:val="20"/>
          <w:color w:val="auto"/>
        </w:rPr>
      </w:pPr>
      <w:r>
        <w:rPr>
          <w:rFonts w:ascii="宋体" w:cs="宋体" w:eastAsia="宋体" w:hAnsi="宋体"/>
          <w:sz w:val="31"/>
          <w:szCs w:val="31"/>
          <w:b w:val="1"/>
          <w:bCs w:val="1"/>
          <w:color w:val="auto"/>
        </w:rPr>
        <w:t>第四十三条</w:t>
      </w:r>
      <w:r>
        <w:rPr>
          <w:sz w:val="20"/>
          <w:szCs w:val="20"/>
          <w:color w:val="auto"/>
        </w:rPr>
        <w:tab/>
      </w:r>
      <w:r>
        <w:rPr>
          <w:rFonts w:ascii="宋体" w:cs="宋体" w:eastAsia="宋体" w:hAnsi="宋体"/>
          <w:sz w:val="31"/>
          <w:szCs w:val="31"/>
          <w:color w:val="auto"/>
        </w:rPr>
        <w:t>采用收益法或者市场法评估企业价值，评</w:t>
      </w:r>
    </w:p>
    <w:p>
      <w:pPr>
        <w:spacing w:after="0" w:line="259"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估技术说明通常包括以下内容：</w:t>
      </w:r>
    </w:p>
    <w:p>
      <w:pPr>
        <w:spacing w:after="0" w:line="259" w:lineRule="exact"/>
        <w:rPr>
          <w:sz w:val="20"/>
          <w:szCs w:val="20"/>
          <w:color w:val="auto"/>
        </w:rPr>
      </w:pPr>
    </w:p>
    <w:p>
      <w:pPr>
        <w:ind w:left="1000"/>
        <w:spacing w:after="0" w:line="366" w:lineRule="exact"/>
        <w:rPr>
          <w:sz w:val="20"/>
          <w:szCs w:val="20"/>
          <w:color w:val="auto"/>
        </w:rPr>
      </w:pPr>
      <w:r>
        <w:rPr>
          <w:rFonts w:ascii="宋体" w:cs="宋体" w:eastAsia="宋体" w:hAnsi="宋体"/>
          <w:sz w:val="32"/>
          <w:szCs w:val="32"/>
          <w:color w:val="auto"/>
        </w:rPr>
        <w:t>（一）影响企业经营的宏观、区域经济因素；</w:t>
      </w:r>
    </w:p>
    <w:p>
      <w:pPr>
        <w:spacing w:after="0" w:line="259" w:lineRule="exact"/>
        <w:rPr>
          <w:sz w:val="20"/>
          <w:szCs w:val="20"/>
          <w:color w:val="auto"/>
        </w:rPr>
      </w:pPr>
    </w:p>
    <w:p>
      <w:pPr>
        <w:ind w:left="1000"/>
        <w:spacing w:after="0" w:line="366" w:lineRule="exact"/>
        <w:rPr>
          <w:sz w:val="20"/>
          <w:szCs w:val="20"/>
          <w:color w:val="auto"/>
        </w:rPr>
      </w:pPr>
      <w:r>
        <w:rPr>
          <w:rFonts w:ascii="宋体" w:cs="宋体" w:eastAsia="宋体" w:hAnsi="宋体"/>
          <w:sz w:val="32"/>
          <w:szCs w:val="32"/>
          <w:color w:val="auto"/>
        </w:rPr>
        <w:t>（二）所在行业现状与发展前景；</w:t>
      </w:r>
    </w:p>
    <w:p>
      <w:pPr>
        <w:spacing w:after="0" w:line="259" w:lineRule="exact"/>
        <w:rPr>
          <w:sz w:val="20"/>
          <w:szCs w:val="20"/>
          <w:color w:val="auto"/>
        </w:rPr>
      </w:pPr>
    </w:p>
    <w:p>
      <w:pPr>
        <w:ind w:left="1000"/>
        <w:spacing w:after="0" w:line="366" w:lineRule="exact"/>
        <w:rPr>
          <w:sz w:val="20"/>
          <w:szCs w:val="20"/>
          <w:color w:val="auto"/>
        </w:rPr>
      </w:pPr>
      <w:r>
        <w:rPr>
          <w:rFonts w:ascii="宋体" w:cs="宋体" w:eastAsia="宋体" w:hAnsi="宋体"/>
          <w:sz w:val="32"/>
          <w:szCs w:val="32"/>
          <w:color w:val="auto"/>
        </w:rPr>
        <w:t>（三）企业的业务情况；</w:t>
      </w:r>
    </w:p>
    <w:p>
      <w:pPr>
        <w:spacing w:after="0" w:line="259" w:lineRule="exact"/>
        <w:rPr>
          <w:sz w:val="20"/>
          <w:szCs w:val="20"/>
          <w:color w:val="auto"/>
        </w:rPr>
      </w:pPr>
    </w:p>
    <w:p>
      <w:pPr>
        <w:ind w:left="1000"/>
        <w:spacing w:after="0" w:line="366" w:lineRule="exact"/>
        <w:rPr>
          <w:sz w:val="20"/>
          <w:szCs w:val="20"/>
          <w:color w:val="auto"/>
        </w:rPr>
      </w:pPr>
      <w:r>
        <w:rPr>
          <w:rFonts w:ascii="宋体" w:cs="宋体" w:eastAsia="宋体" w:hAnsi="宋体"/>
          <w:sz w:val="32"/>
          <w:szCs w:val="32"/>
          <w:color w:val="auto"/>
        </w:rPr>
        <w:t>（四）企业的资产、财务分析和调整情况；</w:t>
      </w:r>
    </w:p>
    <w:p>
      <w:pPr>
        <w:spacing w:after="0" w:line="259" w:lineRule="exact"/>
        <w:rPr>
          <w:sz w:val="20"/>
          <w:szCs w:val="20"/>
          <w:color w:val="auto"/>
        </w:rPr>
      </w:pPr>
    </w:p>
    <w:p>
      <w:pPr>
        <w:ind w:left="1000"/>
        <w:spacing w:after="0" w:line="366" w:lineRule="exact"/>
        <w:rPr>
          <w:sz w:val="20"/>
          <w:szCs w:val="20"/>
          <w:color w:val="auto"/>
        </w:rPr>
      </w:pPr>
      <w:r>
        <w:rPr>
          <w:rFonts w:ascii="宋体" w:cs="宋体" w:eastAsia="宋体" w:hAnsi="宋体"/>
          <w:sz w:val="32"/>
          <w:szCs w:val="32"/>
          <w:color w:val="auto"/>
        </w:rPr>
        <w:t>（五）评估方法的运用过程。</w:t>
      </w:r>
    </w:p>
    <w:p>
      <w:pPr>
        <w:spacing w:after="0" w:line="271" w:lineRule="exact"/>
        <w:rPr>
          <w:sz w:val="20"/>
          <w:szCs w:val="20"/>
          <w:color w:val="auto"/>
        </w:rPr>
      </w:pPr>
    </w:p>
    <w:p>
      <w:pPr>
        <w:ind w:left="1000"/>
        <w:spacing w:after="0" w:line="354" w:lineRule="exact"/>
        <w:tabs>
          <w:tab w:leader="none" w:pos="2920" w:val="left"/>
        </w:tabs>
        <w:rPr>
          <w:sz w:val="20"/>
          <w:szCs w:val="20"/>
          <w:color w:val="auto"/>
        </w:rPr>
      </w:pPr>
      <w:r>
        <w:rPr>
          <w:rFonts w:ascii="宋体" w:cs="宋体" w:eastAsia="宋体" w:hAnsi="宋体"/>
          <w:sz w:val="31"/>
          <w:szCs w:val="31"/>
          <w:b w:val="1"/>
          <w:bCs w:val="1"/>
          <w:color w:val="auto"/>
        </w:rPr>
        <w:t>第四十四条</w:t>
      </w:r>
      <w:r>
        <w:rPr>
          <w:sz w:val="20"/>
          <w:szCs w:val="20"/>
          <w:color w:val="auto"/>
        </w:rPr>
        <w:tab/>
      </w:r>
      <w:r>
        <w:rPr>
          <w:rFonts w:ascii="宋体" w:cs="宋体" w:eastAsia="宋体" w:hAnsi="宋体"/>
          <w:sz w:val="31"/>
          <w:szCs w:val="31"/>
          <w:color w:val="auto"/>
        </w:rPr>
        <w:t>采用收益法进行企业价值评估，应当根据</w:t>
      </w:r>
    </w:p>
    <w:p>
      <w:pPr>
        <w:spacing w:after="0" w:line="270" w:lineRule="exact"/>
        <w:rPr>
          <w:sz w:val="20"/>
          <w:szCs w:val="20"/>
          <w:color w:val="auto"/>
        </w:rPr>
      </w:pPr>
    </w:p>
    <w:p>
      <w:pPr>
        <w:jc w:val="center"/>
        <w:ind w:right="6"/>
        <w:spacing w:after="0" w:line="354" w:lineRule="exact"/>
        <w:rPr>
          <w:sz w:val="20"/>
          <w:szCs w:val="20"/>
          <w:color w:val="auto"/>
        </w:rPr>
      </w:pPr>
      <w:r>
        <w:rPr>
          <w:rFonts w:ascii="宋体" w:cs="宋体" w:eastAsia="宋体" w:hAnsi="宋体"/>
          <w:sz w:val="31"/>
          <w:szCs w:val="31"/>
          <w:color w:val="auto"/>
        </w:rPr>
        <w:t>行业特点、企业经营方式和所确定的预期收益口径以及评估</w:t>
      </w:r>
    </w:p>
    <w:p>
      <w:pPr>
        <w:spacing w:after="0" w:line="270" w:lineRule="exact"/>
        <w:rPr>
          <w:sz w:val="20"/>
          <w:szCs w:val="20"/>
          <w:color w:val="auto"/>
        </w:rPr>
      </w:pPr>
    </w:p>
    <w:p>
      <w:pPr>
        <w:ind w:left="360"/>
        <w:spacing w:after="0" w:line="354" w:lineRule="exact"/>
        <w:rPr>
          <w:sz w:val="20"/>
          <w:szCs w:val="20"/>
          <w:color w:val="auto"/>
        </w:rPr>
      </w:pPr>
      <w:r>
        <w:rPr>
          <w:rFonts w:ascii="宋体" w:cs="宋体" w:eastAsia="宋体" w:hAnsi="宋体"/>
          <w:sz w:val="31"/>
          <w:szCs w:val="31"/>
          <w:color w:val="auto"/>
        </w:rPr>
        <w:t>的其他具体情况等编写评估技术说明。企业的资产、财务分</w:t>
      </w:r>
    </w:p>
    <w:p>
      <w:pPr>
        <w:spacing w:after="0" w:line="259"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析和调整情况以及评估方法运用过程说明通常包括以下内</w:t>
      </w:r>
    </w:p>
    <w:p>
      <w:pPr>
        <w:spacing w:after="0" w:line="259"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容：</w:t>
      </w:r>
    </w:p>
    <w:p>
      <w:pPr>
        <w:spacing w:after="0" w:line="259" w:lineRule="exact"/>
        <w:rPr>
          <w:sz w:val="20"/>
          <w:szCs w:val="20"/>
          <w:color w:val="auto"/>
        </w:rPr>
      </w:pPr>
    </w:p>
    <w:p>
      <w:pPr>
        <w:ind w:left="1000"/>
        <w:spacing w:after="0" w:line="366" w:lineRule="exact"/>
        <w:rPr>
          <w:sz w:val="20"/>
          <w:szCs w:val="20"/>
          <w:color w:val="auto"/>
        </w:rPr>
      </w:pPr>
      <w:r>
        <w:rPr>
          <w:rFonts w:ascii="宋体" w:cs="宋体" w:eastAsia="宋体" w:hAnsi="宋体"/>
          <w:sz w:val="32"/>
          <w:szCs w:val="32"/>
          <w:color w:val="auto"/>
        </w:rPr>
        <w:t>（一）收益法的应用前提及选择理由和依据；</w:t>
      </w:r>
    </w:p>
    <w:p>
      <w:pPr>
        <w:spacing w:after="0" w:line="259" w:lineRule="exact"/>
        <w:rPr>
          <w:sz w:val="20"/>
          <w:szCs w:val="20"/>
          <w:color w:val="auto"/>
        </w:rPr>
      </w:pPr>
    </w:p>
    <w:p>
      <w:pPr>
        <w:ind w:left="1000"/>
        <w:spacing w:after="0" w:line="366" w:lineRule="exact"/>
        <w:rPr>
          <w:sz w:val="20"/>
          <w:szCs w:val="20"/>
          <w:color w:val="auto"/>
        </w:rPr>
      </w:pPr>
      <w:r>
        <w:rPr>
          <w:rFonts w:ascii="宋体" w:cs="宋体" w:eastAsia="宋体" w:hAnsi="宋体"/>
          <w:sz w:val="32"/>
          <w:szCs w:val="32"/>
          <w:color w:val="auto"/>
        </w:rPr>
        <w:t>（二）收益预测的假设条件；</w:t>
      </w:r>
    </w:p>
    <w:p>
      <w:pPr>
        <w:spacing w:after="0" w:line="259" w:lineRule="exact"/>
        <w:rPr>
          <w:sz w:val="20"/>
          <w:szCs w:val="20"/>
          <w:color w:val="auto"/>
        </w:rPr>
      </w:pPr>
    </w:p>
    <w:p>
      <w:pPr>
        <w:ind w:left="1000"/>
        <w:spacing w:after="0" w:line="366" w:lineRule="exact"/>
        <w:rPr>
          <w:sz w:val="20"/>
          <w:szCs w:val="20"/>
          <w:color w:val="auto"/>
        </w:rPr>
      </w:pPr>
      <w:r>
        <w:rPr>
          <w:rFonts w:ascii="宋体" w:cs="宋体" w:eastAsia="宋体" w:hAnsi="宋体"/>
          <w:sz w:val="32"/>
          <w:szCs w:val="32"/>
          <w:color w:val="auto"/>
        </w:rPr>
        <w:t>（三）企业经营、资产、财务分析；</w:t>
      </w:r>
    </w:p>
    <w:p>
      <w:pPr>
        <w:spacing w:after="0" w:line="259" w:lineRule="exact"/>
        <w:rPr>
          <w:sz w:val="20"/>
          <w:szCs w:val="20"/>
          <w:color w:val="auto"/>
        </w:rPr>
      </w:pPr>
    </w:p>
    <w:p>
      <w:pPr>
        <w:ind w:left="1000"/>
        <w:spacing w:after="0" w:line="366" w:lineRule="exact"/>
        <w:rPr>
          <w:sz w:val="20"/>
          <w:szCs w:val="20"/>
          <w:color w:val="auto"/>
        </w:rPr>
      </w:pPr>
      <w:r>
        <w:rPr>
          <w:rFonts w:ascii="宋体" w:cs="宋体" w:eastAsia="宋体" w:hAnsi="宋体"/>
          <w:sz w:val="32"/>
          <w:szCs w:val="32"/>
          <w:color w:val="auto"/>
        </w:rPr>
        <w:t>（四）收益模型选择理由及基本参数说明；</w:t>
      </w:r>
    </w:p>
    <w:p>
      <w:pPr>
        <w:spacing w:after="0" w:line="259" w:lineRule="exact"/>
        <w:rPr>
          <w:sz w:val="20"/>
          <w:szCs w:val="20"/>
          <w:color w:val="auto"/>
        </w:rPr>
      </w:pPr>
    </w:p>
    <w:p>
      <w:pPr>
        <w:ind w:left="1000"/>
        <w:spacing w:after="0" w:line="366" w:lineRule="exact"/>
        <w:rPr>
          <w:sz w:val="20"/>
          <w:szCs w:val="20"/>
          <w:color w:val="auto"/>
        </w:rPr>
      </w:pPr>
      <w:r>
        <w:rPr>
          <w:rFonts w:ascii="宋体" w:cs="宋体" w:eastAsia="宋体" w:hAnsi="宋体"/>
          <w:sz w:val="32"/>
          <w:szCs w:val="32"/>
          <w:color w:val="auto"/>
        </w:rPr>
        <w:t>（五）收益期限及预测期的说明；</w:t>
      </w:r>
    </w:p>
    <w:p>
      <w:pPr>
        <w:spacing w:after="0" w:line="259" w:lineRule="exact"/>
        <w:rPr>
          <w:sz w:val="20"/>
          <w:szCs w:val="20"/>
          <w:color w:val="auto"/>
        </w:rPr>
      </w:pPr>
    </w:p>
    <w:p>
      <w:pPr>
        <w:ind w:left="1000"/>
        <w:spacing w:after="0" w:line="366" w:lineRule="exact"/>
        <w:rPr>
          <w:sz w:val="20"/>
          <w:szCs w:val="20"/>
          <w:color w:val="auto"/>
        </w:rPr>
      </w:pPr>
      <w:r>
        <w:rPr>
          <w:rFonts w:ascii="宋体" w:cs="宋体" w:eastAsia="宋体" w:hAnsi="宋体"/>
          <w:sz w:val="32"/>
          <w:szCs w:val="32"/>
          <w:color w:val="auto"/>
        </w:rPr>
        <w:t>（六）收益预测的说明；</w:t>
      </w:r>
    </w:p>
    <w:p>
      <w:pPr>
        <w:spacing w:after="0" w:line="259" w:lineRule="exact"/>
        <w:rPr>
          <w:sz w:val="20"/>
          <w:szCs w:val="20"/>
          <w:color w:val="auto"/>
        </w:rPr>
      </w:pPr>
    </w:p>
    <w:p>
      <w:pPr>
        <w:ind w:left="1000"/>
        <w:spacing w:after="0" w:line="366" w:lineRule="exact"/>
        <w:rPr>
          <w:sz w:val="20"/>
          <w:szCs w:val="20"/>
          <w:color w:val="auto"/>
        </w:rPr>
      </w:pPr>
      <w:r>
        <w:rPr>
          <w:rFonts w:ascii="宋体" w:cs="宋体" w:eastAsia="宋体" w:hAnsi="宋体"/>
          <w:sz w:val="32"/>
          <w:szCs w:val="32"/>
          <w:color w:val="auto"/>
        </w:rPr>
        <w:t>（七）折现率的确定说明；</w:t>
      </w:r>
    </w:p>
    <w:p>
      <w:pPr>
        <w:spacing w:after="0" w:line="260" w:lineRule="exact"/>
        <w:rPr>
          <w:sz w:val="20"/>
          <w:szCs w:val="20"/>
          <w:color w:val="auto"/>
        </w:rPr>
      </w:pPr>
    </w:p>
    <w:p>
      <w:pPr>
        <w:ind w:left="1000"/>
        <w:spacing w:after="0" w:line="366" w:lineRule="exact"/>
        <w:rPr>
          <w:sz w:val="20"/>
          <w:szCs w:val="20"/>
          <w:color w:val="auto"/>
        </w:rPr>
      </w:pPr>
      <w:r>
        <w:rPr>
          <w:rFonts w:ascii="宋体" w:cs="宋体" w:eastAsia="宋体" w:hAnsi="宋体"/>
          <w:sz w:val="32"/>
          <w:szCs w:val="32"/>
          <w:color w:val="auto"/>
        </w:rPr>
        <w:t>（八）预测期后价值确定说明；</w:t>
      </w:r>
    </w:p>
    <w:p>
      <w:pPr>
        <w:spacing w:after="0" w:line="259" w:lineRule="exact"/>
        <w:rPr>
          <w:sz w:val="20"/>
          <w:szCs w:val="20"/>
          <w:color w:val="auto"/>
        </w:rPr>
      </w:pPr>
    </w:p>
    <w:p>
      <w:pPr>
        <w:ind w:left="1000"/>
        <w:spacing w:after="0" w:line="366" w:lineRule="exact"/>
        <w:rPr>
          <w:sz w:val="20"/>
          <w:szCs w:val="20"/>
          <w:color w:val="auto"/>
        </w:rPr>
      </w:pPr>
      <w:r>
        <w:rPr>
          <w:rFonts w:ascii="宋体" w:cs="宋体" w:eastAsia="宋体" w:hAnsi="宋体"/>
          <w:sz w:val="32"/>
          <w:szCs w:val="32"/>
          <w:color w:val="auto"/>
        </w:rPr>
        <w:t>（九）其他资产和负债评估说明；</w:t>
      </w:r>
    </w:p>
    <w:p>
      <w:pPr>
        <w:spacing w:after="0" w:line="259" w:lineRule="exact"/>
        <w:rPr>
          <w:sz w:val="20"/>
          <w:szCs w:val="20"/>
          <w:color w:val="auto"/>
        </w:rPr>
      </w:pPr>
    </w:p>
    <w:p>
      <w:pPr>
        <w:ind w:left="1000"/>
        <w:spacing w:after="0" w:line="366" w:lineRule="exact"/>
        <w:rPr>
          <w:sz w:val="20"/>
          <w:szCs w:val="20"/>
          <w:color w:val="auto"/>
        </w:rPr>
      </w:pPr>
      <w:r>
        <w:rPr>
          <w:rFonts w:ascii="宋体" w:cs="宋体" w:eastAsia="宋体" w:hAnsi="宋体"/>
          <w:sz w:val="32"/>
          <w:szCs w:val="32"/>
          <w:color w:val="auto"/>
        </w:rPr>
        <w:t>（十）评估价值。</w:t>
      </w:r>
    </w:p>
    <w:p>
      <w:pPr>
        <w:sectPr>
          <w:pgSz w:w="11900" w:h="16838" w:orient="portrait"/>
          <w:cols w:equalWidth="0" w:num="1">
            <w:col w:w="9026"/>
          </w:cols>
          <w:pgMar w:left="1440" w:top="1440" w:right="1440" w:bottom="1440" w:gutter="0" w:footer="0" w:header="0"/>
        </w:sectPr>
      </w:pPr>
    </w:p>
    <w:bookmarkStart w:id="17" w:name="page18"/>
    <w:bookmarkEnd w:id="17"/>
    <w:p>
      <w:pPr>
        <w:spacing w:after="0" w:line="115" w:lineRule="exact"/>
        <w:rPr>
          <w:sz w:val="20"/>
          <w:szCs w:val="20"/>
          <w:color w:val="auto"/>
        </w:rPr>
      </w:pPr>
    </w:p>
    <w:p>
      <w:pPr>
        <w:ind w:left="1000"/>
        <w:spacing w:after="0" w:line="354" w:lineRule="exact"/>
        <w:tabs>
          <w:tab w:leader="none" w:pos="2920" w:val="left"/>
        </w:tabs>
        <w:rPr>
          <w:sz w:val="20"/>
          <w:szCs w:val="20"/>
          <w:color w:val="auto"/>
        </w:rPr>
      </w:pPr>
      <w:r>
        <w:rPr>
          <w:rFonts w:ascii="宋体" w:cs="宋体" w:eastAsia="宋体" w:hAnsi="宋体"/>
          <w:sz w:val="31"/>
          <w:szCs w:val="31"/>
          <w:b w:val="1"/>
          <w:bCs w:val="1"/>
          <w:color w:val="auto"/>
        </w:rPr>
        <w:t>第四十五条</w:t>
      </w:r>
      <w:r>
        <w:rPr>
          <w:sz w:val="20"/>
          <w:szCs w:val="20"/>
          <w:color w:val="auto"/>
        </w:rPr>
        <w:tab/>
      </w:r>
      <w:r>
        <w:rPr>
          <w:rFonts w:ascii="宋体" w:cs="宋体" w:eastAsia="宋体" w:hAnsi="宋体"/>
          <w:sz w:val="31"/>
          <w:szCs w:val="31"/>
          <w:color w:val="auto"/>
        </w:rPr>
        <w:t>采用市场法进行企业价值评估，应当根据</w:t>
      </w:r>
    </w:p>
    <w:p>
      <w:pPr>
        <w:spacing w:after="0" w:line="271" w:lineRule="exact"/>
        <w:rPr>
          <w:sz w:val="20"/>
          <w:szCs w:val="20"/>
          <w:color w:val="auto"/>
        </w:rPr>
      </w:pPr>
    </w:p>
    <w:p>
      <w:pPr>
        <w:jc w:val="center"/>
        <w:ind w:right="6"/>
        <w:spacing w:after="0" w:line="354" w:lineRule="exact"/>
        <w:rPr>
          <w:sz w:val="20"/>
          <w:szCs w:val="20"/>
          <w:color w:val="auto"/>
        </w:rPr>
      </w:pPr>
      <w:r>
        <w:rPr>
          <w:rFonts w:ascii="宋体" w:cs="宋体" w:eastAsia="宋体" w:hAnsi="宋体"/>
          <w:sz w:val="31"/>
          <w:szCs w:val="31"/>
          <w:color w:val="auto"/>
        </w:rPr>
        <w:t>行业特点、被评估单位实际情况以及上市公司比较法或者交</w:t>
      </w:r>
    </w:p>
    <w:p>
      <w:pPr>
        <w:spacing w:after="0" w:line="270" w:lineRule="exact"/>
        <w:rPr>
          <w:sz w:val="20"/>
          <w:szCs w:val="20"/>
          <w:color w:val="auto"/>
        </w:rPr>
      </w:pPr>
    </w:p>
    <w:p>
      <w:pPr>
        <w:ind w:left="360"/>
        <w:spacing w:after="0" w:line="354" w:lineRule="exact"/>
        <w:rPr>
          <w:sz w:val="20"/>
          <w:szCs w:val="20"/>
          <w:color w:val="auto"/>
        </w:rPr>
      </w:pPr>
      <w:r>
        <w:rPr>
          <w:rFonts w:ascii="宋体" w:cs="宋体" w:eastAsia="宋体" w:hAnsi="宋体"/>
          <w:sz w:val="31"/>
          <w:szCs w:val="31"/>
          <w:color w:val="auto"/>
        </w:rPr>
        <w:t>易案例比较法的特点等编写评估技术说明。企业的资产、财</w:t>
      </w:r>
    </w:p>
    <w:p>
      <w:pPr>
        <w:spacing w:after="0" w:line="259"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务分析和调整情况以及评估方法运用过程说明通常包括以</w:t>
      </w:r>
    </w:p>
    <w:p>
      <w:pPr>
        <w:spacing w:after="0" w:line="259"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下内容：</w:t>
      </w:r>
    </w:p>
    <w:p>
      <w:pPr>
        <w:spacing w:after="0" w:line="259" w:lineRule="exact"/>
        <w:rPr>
          <w:sz w:val="20"/>
          <w:szCs w:val="20"/>
          <w:color w:val="auto"/>
        </w:rPr>
      </w:pPr>
    </w:p>
    <w:p>
      <w:pPr>
        <w:ind w:left="1000"/>
        <w:spacing w:after="0" w:line="366" w:lineRule="exact"/>
        <w:rPr>
          <w:sz w:val="20"/>
          <w:szCs w:val="20"/>
          <w:color w:val="auto"/>
        </w:rPr>
      </w:pPr>
      <w:r>
        <w:rPr>
          <w:rFonts w:ascii="宋体" w:cs="宋体" w:eastAsia="宋体" w:hAnsi="宋体"/>
          <w:sz w:val="32"/>
          <w:szCs w:val="32"/>
          <w:color w:val="auto"/>
        </w:rPr>
        <w:t>（一）具体方法、应用前提及选择理由；</w:t>
      </w:r>
    </w:p>
    <w:p>
      <w:pPr>
        <w:spacing w:after="0" w:line="259" w:lineRule="exact"/>
        <w:rPr>
          <w:sz w:val="20"/>
          <w:szCs w:val="20"/>
          <w:color w:val="auto"/>
        </w:rPr>
      </w:pPr>
    </w:p>
    <w:p>
      <w:pPr>
        <w:ind w:left="1000"/>
        <w:spacing w:after="0" w:line="366" w:lineRule="exact"/>
        <w:rPr>
          <w:sz w:val="20"/>
          <w:szCs w:val="20"/>
          <w:color w:val="auto"/>
        </w:rPr>
      </w:pPr>
      <w:r>
        <w:rPr>
          <w:rFonts w:ascii="宋体" w:cs="宋体" w:eastAsia="宋体" w:hAnsi="宋体"/>
          <w:sz w:val="32"/>
          <w:szCs w:val="32"/>
          <w:color w:val="auto"/>
        </w:rPr>
        <w:t>（二）企业经营、资产、财务分析；</w:t>
      </w:r>
    </w:p>
    <w:p>
      <w:pPr>
        <w:spacing w:after="0" w:line="260" w:lineRule="exact"/>
        <w:rPr>
          <w:sz w:val="20"/>
          <w:szCs w:val="20"/>
          <w:color w:val="auto"/>
        </w:rPr>
      </w:pPr>
    </w:p>
    <w:p>
      <w:pPr>
        <w:ind w:left="1000"/>
        <w:spacing w:after="0" w:line="366" w:lineRule="exact"/>
        <w:rPr>
          <w:sz w:val="20"/>
          <w:szCs w:val="20"/>
          <w:color w:val="auto"/>
        </w:rPr>
      </w:pPr>
      <w:r>
        <w:rPr>
          <w:rFonts w:ascii="宋体" w:cs="宋体" w:eastAsia="宋体" w:hAnsi="宋体"/>
          <w:sz w:val="32"/>
          <w:szCs w:val="32"/>
          <w:color w:val="auto"/>
        </w:rPr>
        <w:t>（三）分析选取确定可比企业或者交易案例的说明；</w:t>
      </w:r>
    </w:p>
    <w:p>
      <w:pPr>
        <w:spacing w:after="0" w:line="259" w:lineRule="exact"/>
        <w:rPr>
          <w:sz w:val="20"/>
          <w:szCs w:val="20"/>
          <w:color w:val="auto"/>
        </w:rPr>
      </w:pPr>
    </w:p>
    <w:p>
      <w:pPr>
        <w:ind w:left="1000"/>
        <w:spacing w:after="0" w:line="366" w:lineRule="exact"/>
        <w:rPr>
          <w:sz w:val="20"/>
          <w:szCs w:val="20"/>
          <w:color w:val="auto"/>
        </w:rPr>
      </w:pPr>
      <w:r>
        <w:rPr>
          <w:rFonts w:ascii="宋体" w:cs="宋体" w:eastAsia="宋体" w:hAnsi="宋体"/>
          <w:sz w:val="32"/>
          <w:szCs w:val="32"/>
          <w:color w:val="auto"/>
        </w:rPr>
        <w:t>（四）价值比率的选择及因素修正说明；</w:t>
      </w:r>
    </w:p>
    <w:p>
      <w:pPr>
        <w:spacing w:after="0" w:line="259" w:lineRule="exact"/>
        <w:rPr>
          <w:sz w:val="20"/>
          <w:szCs w:val="20"/>
          <w:color w:val="auto"/>
        </w:rPr>
      </w:pPr>
    </w:p>
    <w:p>
      <w:pPr>
        <w:ind w:left="1000"/>
        <w:spacing w:after="0" w:line="366" w:lineRule="exact"/>
        <w:rPr>
          <w:sz w:val="20"/>
          <w:szCs w:val="20"/>
          <w:color w:val="auto"/>
        </w:rPr>
      </w:pPr>
      <w:r>
        <w:rPr>
          <w:rFonts w:ascii="宋体" w:cs="宋体" w:eastAsia="宋体" w:hAnsi="宋体"/>
          <w:sz w:val="32"/>
          <w:szCs w:val="32"/>
          <w:color w:val="auto"/>
        </w:rPr>
        <w:t>（五）评估对象价值比率的测算说明；</w:t>
      </w:r>
    </w:p>
    <w:p>
      <w:pPr>
        <w:spacing w:after="0" w:line="259" w:lineRule="exact"/>
        <w:rPr>
          <w:sz w:val="20"/>
          <w:szCs w:val="20"/>
          <w:color w:val="auto"/>
        </w:rPr>
      </w:pPr>
    </w:p>
    <w:p>
      <w:pPr>
        <w:ind w:left="1000"/>
        <w:spacing w:after="0" w:line="366" w:lineRule="exact"/>
        <w:rPr>
          <w:sz w:val="20"/>
          <w:szCs w:val="20"/>
          <w:color w:val="auto"/>
        </w:rPr>
      </w:pPr>
      <w:r>
        <w:rPr>
          <w:rFonts w:ascii="宋体" w:cs="宋体" w:eastAsia="宋体" w:hAnsi="宋体"/>
          <w:sz w:val="32"/>
          <w:szCs w:val="32"/>
          <w:color w:val="auto"/>
        </w:rPr>
        <w:t>（六）评估价值。</w:t>
      </w:r>
    </w:p>
    <w:p>
      <w:pPr>
        <w:spacing w:after="0" w:line="259" w:lineRule="exact"/>
        <w:rPr>
          <w:sz w:val="20"/>
          <w:szCs w:val="20"/>
          <w:color w:val="auto"/>
        </w:rPr>
      </w:pPr>
    </w:p>
    <w:p>
      <w:pPr>
        <w:ind w:left="1000"/>
        <w:spacing w:after="0" w:line="366" w:lineRule="exact"/>
        <w:tabs>
          <w:tab w:leader="none" w:pos="2920" w:val="left"/>
        </w:tabs>
        <w:rPr>
          <w:sz w:val="20"/>
          <w:szCs w:val="20"/>
          <w:color w:val="auto"/>
        </w:rPr>
      </w:pPr>
      <w:r>
        <w:rPr>
          <w:rFonts w:ascii="宋体" w:cs="宋体" w:eastAsia="宋体" w:hAnsi="宋体"/>
          <w:sz w:val="32"/>
          <w:szCs w:val="32"/>
          <w:b w:val="1"/>
          <w:bCs w:val="1"/>
          <w:color w:val="auto"/>
        </w:rPr>
        <w:t>第四十六条</w:t>
      </w:r>
      <w:r>
        <w:rPr>
          <w:sz w:val="20"/>
          <w:szCs w:val="20"/>
          <w:color w:val="auto"/>
        </w:rPr>
        <w:tab/>
      </w:r>
      <w:r>
        <w:rPr>
          <w:rFonts w:ascii="宋体" w:cs="宋体" w:eastAsia="宋体" w:hAnsi="宋体"/>
          <w:sz w:val="32"/>
          <w:szCs w:val="32"/>
          <w:color w:val="auto"/>
        </w:rPr>
        <w:t>评估结论及分析通常包括：</w:t>
      </w:r>
    </w:p>
    <w:p>
      <w:pPr>
        <w:spacing w:after="0" w:line="307" w:lineRule="exact"/>
        <w:rPr>
          <w:sz w:val="20"/>
          <w:szCs w:val="20"/>
          <w:color w:val="auto"/>
        </w:rPr>
      </w:pPr>
    </w:p>
    <w:p>
      <w:pPr>
        <w:jc w:val="both"/>
        <w:ind w:left="360" w:right="366" w:firstLine="641"/>
        <w:spacing w:after="0" w:line="522" w:lineRule="exact"/>
        <w:rPr>
          <w:sz w:val="20"/>
          <w:szCs w:val="20"/>
          <w:color w:val="auto"/>
        </w:rPr>
      </w:pPr>
      <w:r>
        <w:rPr>
          <w:rFonts w:ascii="宋体" w:cs="宋体" w:eastAsia="宋体" w:hAnsi="宋体"/>
          <w:sz w:val="32"/>
          <w:szCs w:val="32"/>
          <w:color w:val="auto"/>
        </w:rPr>
        <w:t>（一）评估结论。采用两种或者两种以上方法进行企业价值评估，应当说明不同评估方法结果的差异及其原因和最终确定评估结论的理由。</w:t>
      </w:r>
    </w:p>
    <w:p>
      <w:pPr>
        <w:spacing w:after="0" w:line="260" w:lineRule="exact"/>
        <w:rPr>
          <w:sz w:val="20"/>
          <w:szCs w:val="20"/>
          <w:color w:val="auto"/>
        </w:rPr>
      </w:pPr>
    </w:p>
    <w:p>
      <w:pPr>
        <w:ind w:left="1000"/>
        <w:spacing w:after="0" w:line="366" w:lineRule="exact"/>
        <w:rPr>
          <w:sz w:val="20"/>
          <w:szCs w:val="20"/>
          <w:color w:val="auto"/>
        </w:rPr>
      </w:pPr>
      <w:r>
        <w:rPr>
          <w:rFonts w:ascii="宋体" w:cs="宋体" w:eastAsia="宋体" w:hAnsi="宋体"/>
          <w:sz w:val="32"/>
          <w:szCs w:val="32"/>
          <w:color w:val="auto"/>
        </w:rPr>
        <w:t>（二）评估价值与账面价值比较变动情况及说明。</w:t>
      </w:r>
    </w:p>
    <w:p>
      <w:pPr>
        <w:spacing w:after="0" w:line="259" w:lineRule="exact"/>
        <w:rPr>
          <w:sz w:val="20"/>
          <w:szCs w:val="20"/>
          <w:color w:val="auto"/>
        </w:rPr>
      </w:pPr>
    </w:p>
    <w:p>
      <w:pPr>
        <w:ind w:left="1000"/>
        <w:spacing w:after="0" w:line="366" w:lineRule="exact"/>
        <w:rPr>
          <w:sz w:val="20"/>
          <w:szCs w:val="20"/>
          <w:color w:val="auto"/>
        </w:rPr>
      </w:pPr>
      <w:r>
        <w:rPr>
          <w:rFonts w:ascii="宋体" w:cs="宋体" w:eastAsia="宋体" w:hAnsi="宋体"/>
          <w:sz w:val="32"/>
          <w:szCs w:val="32"/>
          <w:color w:val="auto"/>
        </w:rPr>
        <w:t>（三）折价或者溢价情况（如有）。</w:t>
      </w:r>
    </w:p>
    <w:p>
      <w:pPr>
        <w:spacing w:after="0" w:line="200" w:lineRule="exact"/>
        <w:rPr>
          <w:sz w:val="20"/>
          <w:szCs w:val="20"/>
          <w:color w:val="auto"/>
        </w:rPr>
      </w:pPr>
    </w:p>
    <w:p>
      <w:pPr>
        <w:spacing w:after="0" w:line="215" w:lineRule="exact"/>
        <w:rPr>
          <w:sz w:val="20"/>
          <w:szCs w:val="20"/>
          <w:color w:val="auto"/>
        </w:rPr>
      </w:pPr>
    </w:p>
    <w:p>
      <w:pPr>
        <w:jc w:val="center"/>
        <w:ind w:left="2720"/>
        <w:spacing w:after="0" w:line="366" w:lineRule="exact"/>
        <w:tabs>
          <w:tab w:leader="none" w:pos="300" w:val="left"/>
        </w:tabs>
        <w:rPr>
          <w:sz w:val="20"/>
          <w:szCs w:val="20"/>
          <w:color w:val="auto"/>
        </w:rPr>
      </w:pPr>
      <w:r>
        <w:rPr>
          <w:rFonts w:ascii="宋体" w:cs="宋体" w:eastAsia="宋体" w:hAnsi="宋体"/>
          <w:sz w:val="32"/>
          <w:szCs w:val="32"/>
          <w:color w:val="auto"/>
        </w:rPr>
        <w:t>第七章</w:t>
        <w:tab/>
        <w:t>出具与装订</w:t>
      </w:r>
    </w:p>
    <w:p>
      <w:pPr>
        <w:spacing w:after="0" w:line="200" w:lineRule="exact"/>
        <w:rPr>
          <w:sz w:val="20"/>
          <w:szCs w:val="20"/>
          <w:color w:val="auto"/>
        </w:rPr>
      </w:pPr>
    </w:p>
    <w:p>
      <w:pPr>
        <w:spacing w:after="0" w:line="227" w:lineRule="exact"/>
        <w:rPr>
          <w:sz w:val="20"/>
          <w:szCs w:val="20"/>
          <w:color w:val="auto"/>
        </w:rPr>
      </w:pPr>
    </w:p>
    <w:p>
      <w:pPr>
        <w:ind w:left="1000"/>
        <w:spacing w:after="0" w:line="354" w:lineRule="exact"/>
        <w:tabs>
          <w:tab w:leader="none" w:pos="2920" w:val="left"/>
        </w:tabs>
        <w:rPr>
          <w:sz w:val="20"/>
          <w:szCs w:val="20"/>
          <w:color w:val="auto"/>
        </w:rPr>
      </w:pPr>
      <w:r>
        <w:rPr>
          <w:rFonts w:ascii="宋体" w:cs="宋体" w:eastAsia="宋体" w:hAnsi="宋体"/>
          <w:sz w:val="31"/>
          <w:szCs w:val="31"/>
          <w:b w:val="1"/>
          <w:bCs w:val="1"/>
          <w:color w:val="auto"/>
        </w:rPr>
        <w:t>第四十七条</w:t>
      </w:r>
      <w:r>
        <w:rPr>
          <w:sz w:val="20"/>
          <w:szCs w:val="20"/>
          <w:color w:val="auto"/>
        </w:rPr>
        <w:tab/>
      </w:r>
      <w:r>
        <w:rPr>
          <w:rFonts w:ascii="宋体" w:cs="宋体" w:eastAsia="宋体" w:hAnsi="宋体"/>
          <w:sz w:val="31"/>
          <w:szCs w:val="31"/>
          <w:color w:val="auto"/>
        </w:rPr>
        <w:t>资产评估报告应当使用中文撰写。需要同</w:t>
      </w:r>
    </w:p>
    <w:p>
      <w:pPr>
        <w:spacing w:after="0" w:line="259"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时出具外文资产评估报告的，以中文资产评估报告为准。</w:t>
      </w:r>
    </w:p>
    <w:p>
      <w:pPr>
        <w:spacing w:after="0" w:line="270" w:lineRule="exact"/>
        <w:rPr>
          <w:sz w:val="20"/>
          <w:szCs w:val="20"/>
          <w:color w:val="auto"/>
        </w:rPr>
      </w:pPr>
    </w:p>
    <w:p>
      <w:pPr>
        <w:ind w:left="1000"/>
        <w:spacing w:after="0" w:line="354" w:lineRule="exact"/>
        <w:rPr>
          <w:sz w:val="20"/>
          <w:szCs w:val="20"/>
          <w:color w:val="auto"/>
        </w:rPr>
      </w:pPr>
      <w:r>
        <w:rPr>
          <w:rFonts w:ascii="宋体" w:cs="宋体" w:eastAsia="宋体" w:hAnsi="宋体"/>
          <w:sz w:val="31"/>
          <w:szCs w:val="31"/>
          <w:color w:val="auto"/>
        </w:rPr>
        <w:t>评估结论一般以人民币为计量币种，使用其他币种表示</w:t>
      </w:r>
    </w:p>
    <w:p>
      <w:pPr>
        <w:spacing w:after="0" w:line="259"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的，应当注明该币种与人民币在评估基准日的汇率。</w:t>
      </w:r>
    </w:p>
    <w:p>
      <w:pPr>
        <w:sectPr>
          <w:pgSz w:w="11900" w:h="16838" w:orient="portrait"/>
          <w:cols w:equalWidth="0" w:num="1">
            <w:col w:w="9026"/>
          </w:cols>
          <w:pgMar w:left="1440" w:top="1440" w:right="1440" w:bottom="947" w:gutter="0" w:footer="0" w:header="0"/>
        </w:sectPr>
      </w:pPr>
    </w:p>
    <w:bookmarkStart w:id="18" w:name="page19"/>
    <w:bookmarkEnd w:id="18"/>
    <w:p>
      <w:pPr>
        <w:spacing w:after="0" w:line="104" w:lineRule="exact"/>
        <w:rPr>
          <w:sz w:val="20"/>
          <w:szCs w:val="20"/>
          <w:color w:val="auto"/>
        </w:rPr>
      </w:pPr>
    </w:p>
    <w:p>
      <w:pPr>
        <w:ind w:left="1000"/>
        <w:spacing w:after="0" w:line="366" w:lineRule="exact"/>
        <w:tabs>
          <w:tab w:leader="none" w:pos="2920" w:val="left"/>
        </w:tabs>
        <w:rPr>
          <w:sz w:val="20"/>
          <w:szCs w:val="20"/>
          <w:color w:val="auto"/>
        </w:rPr>
      </w:pPr>
      <w:r>
        <w:rPr>
          <w:rFonts w:ascii="宋体" w:cs="宋体" w:eastAsia="宋体" w:hAnsi="宋体"/>
          <w:sz w:val="32"/>
          <w:szCs w:val="32"/>
          <w:b w:val="1"/>
          <w:bCs w:val="1"/>
          <w:color w:val="auto"/>
        </w:rPr>
        <w:t>第四十八条</w:t>
      </w:r>
      <w:r>
        <w:rPr>
          <w:sz w:val="20"/>
          <w:szCs w:val="20"/>
          <w:color w:val="auto"/>
        </w:rPr>
        <w:tab/>
      </w:r>
      <w:r>
        <w:rPr>
          <w:rFonts w:ascii="宋体" w:cs="宋体" w:eastAsia="宋体" w:hAnsi="宋体"/>
          <w:sz w:val="32"/>
          <w:szCs w:val="32"/>
          <w:color w:val="auto"/>
        </w:rPr>
        <w:t>资产评估报告封面应当载明资产评估报</w:t>
      </w:r>
    </w:p>
    <w:p>
      <w:pPr>
        <w:spacing w:after="0" w:line="259"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告标题及文号、资产评估机构全称和资产评估报告日。</w:t>
      </w:r>
    </w:p>
    <w:p>
      <w:pPr>
        <w:spacing w:after="0" w:line="259" w:lineRule="exact"/>
        <w:rPr>
          <w:sz w:val="20"/>
          <w:szCs w:val="20"/>
          <w:color w:val="auto"/>
        </w:rPr>
      </w:pPr>
    </w:p>
    <w:p>
      <w:pPr>
        <w:ind w:left="1000"/>
        <w:spacing w:after="0" w:line="366" w:lineRule="exact"/>
        <w:tabs>
          <w:tab w:leader="none" w:pos="2920" w:val="left"/>
        </w:tabs>
        <w:rPr>
          <w:sz w:val="20"/>
          <w:szCs w:val="20"/>
          <w:color w:val="auto"/>
        </w:rPr>
      </w:pPr>
      <w:r>
        <w:rPr>
          <w:rFonts w:ascii="宋体" w:cs="宋体" w:eastAsia="宋体" w:hAnsi="宋体"/>
          <w:sz w:val="32"/>
          <w:szCs w:val="32"/>
          <w:b w:val="1"/>
          <w:bCs w:val="1"/>
          <w:color w:val="auto"/>
        </w:rPr>
        <w:t>第四十九条</w:t>
      </w:r>
      <w:r>
        <w:rPr>
          <w:sz w:val="20"/>
          <w:szCs w:val="20"/>
          <w:color w:val="auto"/>
        </w:rPr>
        <w:tab/>
      </w:r>
      <w:r>
        <w:rPr>
          <w:rFonts w:ascii="宋体" w:cs="宋体" w:eastAsia="宋体" w:hAnsi="宋体"/>
          <w:sz w:val="32"/>
          <w:szCs w:val="32"/>
          <w:color w:val="auto"/>
        </w:rPr>
        <w:t>资产评估报告标题及文号一般在封面上</w:t>
      </w:r>
    </w:p>
    <w:p>
      <w:pPr>
        <w:spacing w:after="0" w:line="259"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方居中位置，资产评估机构名称及资产评估报告日应当在封</w:t>
      </w:r>
    </w:p>
    <w:p>
      <w:pPr>
        <w:spacing w:after="0" w:line="236" w:lineRule="exact"/>
        <w:rPr>
          <w:sz w:val="20"/>
          <w:szCs w:val="20"/>
          <w:color w:val="auto"/>
        </w:rPr>
      </w:pPr>
    </w:p>
    <w:p>
      <w:pPr>
        <w:ind w:left="360"/>
        <w:spacing w:after="0" w:line="388" w:lineRule="exact"/>
        <w:rPr>
          <w:sz w:val="20"/>
          <w:szCs w:val="20"/>
          <w:color w:val="auto"/>
        </w:rPr>
      </w:pPr>
      <w:r>
        <w:rPr>
          <w:rFonts w:ascii="宋体" w:cs="宋体" w:eastAsia="宋体" w:hAnsi="宋体"/>
          <w:sz w:val="32"/>
          <w:szCs w:val="32"/>
          <w:color w:val="auto"/>
        </w:rPr>
        <w:t>面下方居中位置。资产评估报告应当用</w:t>
      </w:r>
      <w:r>
        <w:rPr>
          <w:rFonts w:ascii="Arial" w:cs="Arial" w:eastAsia="Arial" w:hAnsi="Arial"/>
          <w:sz w:val="32"/>
          <w:szCs w:val="32"/>
          <w:color w:val="auto"/>
        </w:rPr>
        <w:t xml:space="preserve"> A4 </w:t>
      </w:r>
      <w:r>
        <w:rPr>
          <w:rFonts w:ascii="宋体" w:cs="宋体" w:eastAsia="宋体" w:hAnsi="宋体"/>
          <w:sz w:val="32"/>
          <w:szCs w:val="32"/>
          <w:color w:val="auto"/>
        </w:rPr>
        <w:t>规格纸张印刷。</w:t>
      </w:r>
    </w:p>
    <w:p>
      <w:pPr>
        <w:spacing w:after="0" w:line="259" w:lineRule="exact"/>
        <w:rPr>
          <w:sz w:val="20"/>
          <w:szCs w:val="20"/>
          <w:color w:val="auto"/>
        </w:rPr>
      </w:pPr>
    </w:p>
    <w:p>
      <w:pPr>
        <w:ind w:left="1000"/>
        <w:spacing w:after="0" w:line="366" w:lineRule="exact"/>
        <w:tabs>
          <w:tab w:leader="none" w:pos="2580" w:val="left"/>
        </w:tabs>
        <w:rPr>
          <w:sz w:val="20"/>
          <w:szCs w:val="20"/>
          <w:color w:val="auto"/>
        </w:rPr>
      </w:pPr>
      <w:r>
        <w:rPr>
          <w:rFonts w:ascii="宋体" w:cs="宋体" w:eastAsia="宋体" w:hAnsi="宋体"/>
          <w:sz w:val="32"/>
          <w:szCs w:val="32"/>
          <w:b w:val="1"/>
          <w:bCs w:val="1"/>
          <w:color w:val="auto"/>
        </w:rPr>
        <w:t>第五十条</w:t>
      </w:r>
      <w:r>
        <w:rPr>
          <w:sz w:val="20"/>
          <w:szCs w:val="20"/>
          <w:color w:val="auto"/>
        </w:rPr>
        <w:tab/>
      </w:r>
      <w:r>
        <w:rPr>
          <w:rFonts w:ascii="宋体" w:cs="宋体" w:eastAsia="宋体" w:hAnsi="宋体"/>
          <w:sz w:val="32"/>
          <w:szCs w:val="32"/>
          <w:color w:val="auto"/>
        </w:rPr>
        <w:t>资产评估报告一般分册装订，各册应当具有</w:t>
      </w:r>
    </w:p>
    <w:p>
      <w:pPr>
        <w:spacing w:after="0" w:line="259"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独立的目录。</w:t>
      </w:r>
    </w:p>
    <w:p>
      <w:pPr>
        <w:spacing w:after="0" w:line="260" w:lineRule="exact"/>
        <w:rPr>
          <w:sz w:val="20"/>
          <w:szCs w:val="20"/>
          <w:color w:val="auto"/>
        </w:rPr>
      </w:pPr>
    </w:p>
    <w:p>
      <w:pPr>
        <w:ind w:left="1000"/>
        <w:spacing w:after="0" w:line="366" w:lineRule="exact"/>
        <w:rPr>
          <w:sz w:val="20"/>
          <w:szCs w:val="20"/>
          <w:color w:val="auto"/>
        </w:rPr>
      </w:pPr>
      <w:r>
        <w:rPr>
          <w:rFonts w:ascii="宋体" w:cs="宋体" w:eastAsia="宋体" w:hAnsi="宋体"/>
          <w:sz w:val="32"/>
          <w:szCs w:val="32"/>
          <w:color w:val="auto"/>
        </w:rPr>
        <w:t>声明、摘要、正文和附件合订成册，其目录中应当含有</w:t>
      </w:r>
    </w:p>
    <w:p>
      <w:pPr>
        <w:spacing w:after="0" w:line="259"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其他册的目录，但其他册目录的页码不予标注。评估说明和</w:t>
      </w:r>
    </w:p>
    <w:p>
      <w:pPr>
        <w:spacing w:after="0" w:line="259"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评估明细表一般分别独立成册。必要时附件可以独立成册。</w:t>
      </w:r>
    </w:p>
    <w:p>
      <w:pPr>
        <w:spacing w:after="0" w:line="236" w:lineRule="exact"/>
        <w:rPr>
          <w:sz w:val="20"/>
          <w:szCs w:val="20"/>
          <w:color w:val="auto"/>
        </w:rPr>
      </w:pPr>
    </w:p>
    <w:p>
      <w:pPr>
        <w:ind w:left="1000"/>
        <w:spacing w:after="0" w:line="388" w:lineRule="exact"/>
        <w:rPr>
          <w:sz w:val="20"/>
          <w:szCs w:val="20"/>
          <w:color w:val="auto"/>
        </w:rPr>
      </w:pPr>
      <w:r>
        <w:rPr>
          <w:rFonts w:ascii="宋体" w:cs="宋体" w:eastAsia="宋体" w:hAnsi="宋体"/>
          <w:sz w:val="32"/>
          <w:szCs w:val="32"/>
          <w:color w:val="auto"/>
        </w:rPr>
        <w:t>单独成册的，其封面格式、标题中的</w:t>
      </w:r>
      <w:r>
        <w:rPr>
          <w:rFonts w:ascii="Arial" w:cs="Arial" w:eastAsia="Arial" w:hAnsi="Arial"/>
          <w:sz w:val="32"/>
          <w:szCs w:val="32"/>
          <w:color w:val="auto"/>
        </w:rPr>
        <w:t>“</w:t>
      </w:r>
      <w:r>
        <w:rPr>
          <w:rFonts w:ascii="宋体" w:cs="宋体" w:eastAsia="宋体" w:hAnsi="宋体"/>
          <w:sz w:val="32"/>
          <w:szCs w:val="32"/>
          <w:color w:val="auto"/>
        </w:rPr>
        <w:t>企业名称</w:t>
      </w:r>
      <w:r>
        <w:rPr>
          <w:rFonts w:ascii="Arial" w:cs="Arial" w:eastAsia="Arial" w:hAnsi="Arial"/>
          <w:sz w:val="32"/>
          <w:szCs w:val="32"/>
          <w:color w:val="auto"/>
        </w:rPr>
        <w:t>+</w:t>
      </w:r>
      <w:r>
        <w:rPr>
          <w:rFonts w:ascii="宋体" w:cs="宋体" w:eastAsia="宋体" w:hAnsi="宋体"/>
          <w:sz w:val="32"/>
          <w:szCs w:val="32"/>
          <w:color w:val="auto"/>
        </w:rPr>
        <w:t>经济</w:t>
      </w:r>
    </w:p>
    <w:p>
      <w:pPr>
        <w:spacing w:after="0" w:line="236" w:lineRule="exact"/>
        <w:rPr>
          <w:sz w:val="20"/>
          <w:szCs w:val="20"/>
          <w:color w:val="auto"/>
        </w:rPr>
      </w:pPr>
    </w:p>
    <w:p>
      <w:pPr>
        <w:ind w:left="360"/>
        <w:spacing w:after="0" w:line="388" w:lineRule="exact"/>
        <w:rPr>
          <w:sz w:val="20"/>
          <w:szCs w:val="20"/>
          <w:color w:val="auto"/>
        </w:rPr>
      </w:pPr>
      <w:r>
        <w:rPr>
          <w:rFonts w:ascii="宋体" w:cs="宋体" w:eastAsia="宋体" w:hAnsi="宋体"/>
          <w:sz w:val="32"/>
          <w:szCs w:val="32"/>
          <w:color w:val="auto"/>
        </w:rPr>
        <w:t>行为关键词</w:t>
      </w:r>
      <w:r>
        <w:rPr>
          <w:rFonts w:ascii="Arial" w:cs="Arial" w:eastAsia="Arial" w:hAnsi="Arial"/>
          <w:sz w:val="32"/>
          <w:szCs w:val="32"/>
          <w:color w:val="auto"/>
        </w:rPr>
        <w:t>+</w:t>
      </w:r>
      <w:r>
        <w:rPr>
          <w:rFonts w:ascii="宋体" w:cs="宋体" w:eastAsia="宋体" w:hAnsi="宋体"/>
          <w:sz w:val="32"/>
          <w:szCs w:val="32"/>
          <w:color w:val="auto"/>
        </w:rPr>
        <w:t>评估对象</w:t>
      </w:r>
      <w:r>
        <w:rPr>
          <w:rFonts w:ascii="Arial" w:cs="Arial" w:eastAsia="Arial" w:hAnsi="Arial"/>
          <w:sz w:val="32"/>
          <w:szCs w:val="32"/>
          <w:color w:val="auto"/>
        </w:rPr>
        <w:t>”</w:t>
      </w:r>
      <w:r>
        <w:rPr>
          <w:rFonts w:ascii="宋体" w:cs="宋体" w:eastAsia="宋体" w:hAnsi="宋体"/>
          <w:sz w:val="32"/>
          <w:szCs w:val="32"/>
          <w:color w:val="auto"/>
        </w:rPr>
        <w:t>及文号等应当与资产评估报告保持</w:t>
      </w:r>
    </w:p>
    <w:p>
      <w:pPr>
        <w:spacing w:after="0" w:line="259"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一致。</w:t>
      </w:r>
    </w:p>
    <w:p>
      <w:pPr>
        <w:spacing w:after="0" w:line="259" w:lineRule="exact"/>
        <w:rPr>
          <w:sz w:val="20"/>
          <w:szCs w:val="20"/>
          <w:color w:val="auto"/>
        </w:rPr>
      </w:pPr>
    </w:p>
    <w:p>
      <w:pPr>
        <w:ind w:left="1000"/>
        <w:spacing w:after="0" w:line="366" w:lineRule="exact"/>
        <w:rPr>
          <w:sz w:val="20"/>
          <w:szCs w:val="20"/>
          <w:color w:val="auto"/>
        </w:rPr>
      </w:pPr>
      <w:r>
        <w:rPr>
          <w:rFonts w:ascii="宋体" w:cs="宋体" w:eastAsia="宋体" w:hAnsi="宋体"/>
          <w:sz w:val="32"/>
          <w:szCs w:val="32"/>
          <w:color w:val="auto"/>
        </w:rPr>
        <w:t>评估明细表一般按会计科目顺序装订。</w:t>
      </w:r>
    </w:p>
    <w:p>
      <w:pPr>
        <w:spacing w:after="0" w:line="259" w:lineRule="exact"/>
        <w:rPr>
          <w:sz w:val="20"/>
          <w:szCs w:val="20"/>
          <w:color w:val="auto"/>
        </w:rPr>
      </w:pPr>
    </w:p>
    <w:p>
      <w:pPr>
        <w:ind w:left="1000"/>
        <w:spacing w:after="0" w:line="366" w:lineRule="exact"/>
        <w:tabs>
          <w:tab w:leader="none" w:pos="2920" w:val="left"/>
        </w:tabs>
        <w:rPr>
          <w:sz w:val="20"/>
          <w:szCs w:val="20"/>
          <w:color w:val="auto"/>
        </w:rPr>
      </w:pPr>
      <w:r>
        <w:rPr>
          <w:rFonts w:ascii="宋体" w:cs="宋体" w:eastAsia="宋体" w:hAnsi="宋体"/>
          <w:sz w:val="32"/>
          <w:szCs w:val="32"/>
          <w:b w:val="1"/>
          <w:bCs w:val="1"/>
          <w:color w:val="auto"/>
        </w:rPr>
        <w:t>第五十一条</w:t>
      </w:r>
      <w:r>
        <w:rPr>
          <w:sz w:val="20"/>
          <w:szCs w:val="20"/>
          <w:color w:val="auto"/>
        </w:rPr>
        <w:tab/>
      </w:r>
      <w:r>
        <w:rPr>
          <w:rFonts w:ascii="宋体" w:cs="宋体" w:eastAsia="宋体" w:hAnsi="宋体"/>
          <w:sz w:val="32"/>
          <w:szCs w:val="32"/>
          <w:color w:val="auto"/>
        </w:rPr>
        <w:t>资产评估报告封底或者其他适当位置应</w:t>
      </w:r>
    </w:p>
    <w:p>
      <w:pPr>
        <w:spacing w:after="0" w:line="259"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当标注资产评估机构名称、地址、邮政编码、联系电话、传</w:t>
      </w:r>
    </w:p>
    <w:p>
      <w:pPr>
        <w:spacing w:after="0" w:line="259"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真、电子邮箱等。</w:t>
      </w:r>
    </w:p>
    <w:p>
      <w:pPr>
        <w:spacing w:after="0" w:line="200" w:lineRule="exact"/>
        <w:rPr>
          <w:sz w:val="20"/>
          <w:szCs w:val="20"/>
          <w:color w:val="auto"/>
        </w:rPr>
      </w:pPr>
    </w:p>
    <w:p>
      <w:pPr>
        <w:spacing w:after="0" w:line="215" w:lineRule="exact"/>
        <w:rPr>
          <w:sz w:val="20"/>
          <w:szCs w:val="20"/>
          <w:color w:val="auto"/>
        </w:rPr>
      </w:pPr>
    </w:p>
    <w:p>
      <w:pPr>
        <w:jc w:val="center"/>
        <w:ind w:left="3200"/>
        <w:spacing w:after="0" w:line="366" w:lineRule="exact"/>
        <w:tabs>
          <w:tab w:leader="none" w:pos="300" w:val="left"/>
        </w:tabs>
        <w:rPr>
          <w:sz w:val="20"/>
          <w:szCs w:val="20"/>
          <w:color w:val="auto"/>
        </w:rPr>
      </w:pPr>
      <w:r>
        <w:rPr>
          <w:rFonts w:ascii="宋体" w:cs="宋体" w:eastAsia="宋体" w:hAnsi="宋体"/>
          <w:sz w:val="32"/>
          <w:szCs w:val="32"/>
          <w:color w:val="auto"/>
        </w:rPr>
        <w:t>第八章</w:t>
        <w:tab/>
        <w:t>附则</w:t>
      </w:r>
    </w:p>
    <w:p>
      <w:pPr>
        <w:spacing w:after="0" w:line="302" w:lineRule="exact"/>
        <w:rPr>
          <w:sz w:val="20"/>
          <w:szCs w:val="20"/>
          <w:color w:val="auto"/>
        </w:rPr>
      </w:pPr>
    </w:p>
    <w:p>
      <w:pPr>
        <w:ind w:left="1000"/>
        <w:spacing w:after="0" w:line="376" w:lineRule="exact"/>
        <w:tabs>
          <w:tab w:leader="none" w:pos="2920" w:val="left"/>
        </w:tabs>
        <w:rPr>
          <w:sz w:val="20"/>
          <w:szCs w:val="20"/>
          <w:color w:val="auto"/>
        </w:rPr>
      </w:pPr>
      <w:r>
        <w:rPr>
          <w:rFonts w:ascii="宋体" w:cs="宋体" w:eastAsia="宋体" w:hAnsi="宋体"/>
          <w:sz w:val="31"/>
          <w:szCs w:val="31"/>
          <w:b w:val="1"/>
          <w:bCs w:val="1"/>
          <w:color w:val="auto"/>
        </w:rPr>
        <w:t>第五十二条</w:t>
      </w:r>
      <w:r>
        <w:rPr>
          <w:sz w:val="20"/>
          <w:szCs w:val="20"/>
          <w:color w:val="auto"/>
        </w:rPr>
        <w:tab/>
      </w:r>
      <w:r>
        <w:rPr>
          <w:rFonts w:ascii="宋体" w:cs="宋体" w:eastAsia="宋体" w:hAnsi="宋体"/>
          <w:sz w:val="31"/>
          <w:szCs w:val="31"/>
          <w:color w:val="auto"/>
        </w:rPr>
        <w:t>本指南自</w:t>
      </w:r>
      <w:r>
        <w:rPr>
          <w:rFonts w:ascii="Arial" w:cs="Arial" w:eastAsia="Arial" w:hAnsi="Arial"/>
          <w:sz w:val="31"/>
          <w:szCs w:val="31"/>
          <w:color w:val="auto"/>
        </w:rPr>
        <w:t xml:space="preserve"> 2017 </w:t>
      </w:r>
      <w:r>
        <w:rPr>
          <w:rFonts w:ascii="宋体" w:cs="宋体" w:eastAsia="宋体" w:hAnsi="宋体"/>
          <w:sz w:val="31"/>
          <w:szCs w:val="31"/>
          <w:color w:val="auto"/>
        </w:rPr>
        <w:t>年</w:t>
      </w:r>
      <w:r>
        <w:rPr>
          <w:rFonts w:ascii="Arial" w:cs="Arial" w:eastAsia="Arial" w:hAnsi="Arial"/>
          <w:sz w:val="31"/>
          <w:szCs w:val="31"/>
          <w:color w:val="auto"/>
        </w:rPr>
        <w:t xml:space="preserve"> 10 </w:t>
      </w:r>
      <w:r>
        <w:rPr>
          <w:rFonts w:ascii="宋体" w:cs="宋体" w:eastAsia="宋体" w:hAnsi="宋体"/>
          <w:sz w:val="31"/>
          <w:szCs w:val="31"/>
          <w:color w:val="auto"/>
        </w:rPr>
        <w:t>月</w:t>
      </w:r>
      <w:r>
        <w:rPr>
          <w:rFonts w:ascii="Arial" w:cs="Arial" w:eastAsia="Arial" w:hAnsi="Arial"/>
          <w:sz w:val="31"/>
          <w:szCs w:val="31"/>
          <w:color w:val="auto"/>
        </w:rPr>
        <w:t xml:space="preserve"> 1 </w:t>
      </w:r>
      <w:r>
        <w:rPr>
          <w:rFonts w:ascii="宋体" w:cs="宋体" w:eastAsia="宋体" w:hAnsi="宋体"/>
          <w:sz w:val="31"/>
          <w:szCs w:val="31"/>
          <w:color w:val="auto"/>
        </w:rPr>
        <w:t>日起施行。中国</w:t>
      </w:r>
    </w:p>
    <w:p>
      <w:pPr>
        <w:spacing w:after="0" w:line="234" w:lineRule="exact"/>
        <w:rPr>
          <w:sz w:val="20"/>
          <w:szCs w:val="20"/>
          <w:color w:val="auto"/>
        </w:rPr>
      </w:pPr>
    </w:p>
    <w:p>
      <w:pPr>
        <w:ind w:left="360"/>
        <w:spacing w:after="0" w:line="388" w:lineRule="exact"/>
        <w:rPr>
          <w:sz w:val="20"/>
          <w:szCs w:val="20"/>
          <w:color w:val="auto"/>
        </w:rPr>
      </w:pPr>
      <w:r>
        <w:rPr>
          <w:rFonts w:ascii="宋体" w:cs="宋体" w:eastAsia="宋体" w:hAnsi="宋体"/>
          <w:sz w:val="32"/>
          <w:szCs w:val="32"/>
          <w:color w:val="auto"/>
        </w:rPr>
        <w:t>资产评估协会于</w:t>
      </w:r>
      <w:r>
        <w:rPr>
          <w:rFonts w:ascii="Arial" w:cs="Arial" w:eastAsia="Arial" w:hAnsi="Arial"/>
          <w:sz w:val="32"/>
          <w:szCs w:val="32"/>
          <w:color w:val="auto"/>
        </w:rPr>
        <w:t xml:space="preserve"> 2011 </w:t>
      </w:r>
      <w:r>
        <w:rPr>
          <w:rFonts w:ascii="宋体" w:cs="宋体" w:eastAsia="宋体" w:hAnsi="宋体"/>
          <w:sz w:val="32"/>
          <w:szCs w:val="32"/>
          <w:color w:val="auto"/>
        </w:rPr>
        <w:t>年</w:t>
      </w:r>
      <w:r>
        <w:rPr>
          <w:rFonts w:ascii="Arial" w:cs="Arial" w:eastAsia="Arial" w:hAnsi="Arial"/>
          <w:sz w:val="32"/>
          <w:szCs w:val="32"/>
          <w:color w:val="auto"/>
        </w:rPr>
        <w:t xml:space="preserve"> 12 </w:t>
      </w:r>
      <w:r>
        <w:rPr>
          <w:rFonts w:ascii="宋体" w:cs="宋体" w:eastAsia="宋体" w:hAnsi="宋体"/>
          <w:sz w:val="32"/>
          <w:szCs w:val="32"/>
          <w:color w:val="auto"/>
        </w:rPr>
        <w:t>月</w:t>
      </w:r>
      <w:r>
        <w:rPr>
          <w:rFonts w:ascii="Arial" w:cs="Arial" w:eastAsia="Arial" w:hAnsi="Arial"/>
          <w:sz w:val="32"/>
          <w:szCs w:val="32"/>
          <w:color w:val="auto"/>
        </w:rPr>
        <w:t xml:space="preserve"> 30 </w:t>
      </w:r>
      <w:r>
        <w:rPr>
          <w:rFonts w:ascii="宋体" w:cs="宋体" w:eastAsia="宋体" w:hAnsi="宋体"/>
          <w:sz w:val="32"/>
          <w:szCs w:val="32"/>
          <w:color w:val="auto"/>
        </w:rPr>
        <w:t>日发布的《关于修改评估</w:t>
      </w:r>
    </w:p>
    <w:p>
      <w:pPr>
        <w:spacing w:after="0" w:line="260" w:lineRule="exact"/>
        <w:rPr>
          <w:sz w:val="20"/>
          <w:szCs w:val="20"/>
          <w:color w:val="auto"/>
        </w:rPr>
      </w:pPr>
    </w:p>
    <w:p>
      <w:pPr>
        <w:ind w:left="360"/>
        <w:spacing w:after="0" w:line="364" w:lineRule="exact"/>
        <w:rPr>
          <w:sz w:val="20"/>
          <w:szCs w:val="20"/>
          <w:color w:val="auto"/>
        </w:rPr>
      </w:pPr>
      <w:r>
        <w:rPr>
          <w:rFonts w:ascii="宋体" w:cs="宋体" w:eastAsia="宋体" w:hAnsi="宋体"/>
          <w:sz w:val="30"/>
          <w:szCs w:val="30"/>
          <w:color w:val="auto"/>
        </w:rPr>
        <w:t>报告等准则中有关签章条款的通知》（中评协〔</w:t>
      </w:r>
      <w:r>
        <w:rPr>
          <w:rFonts w:ascii="Arial" w:cs="Arial" w:eastAsia="Arial" w:hAnsi="Arial"/>
          <w:sz w:val="30"/>
          <w:szCs w:val="30"/>
          <w:color w:val="auto"/>
        </w:rPr>
        <w:t>2011</w:t>
      </w:r>
      <w:r>
        <w:rPr>
          <w:rFonts w:ascii="宋体" w:cs="宋体" w:eastAsia="宋体" w:hAnsi="宋体"/>
          <w:sz w:val="30"/>
          <w:szCs w:val="30"/>
          <w:color w:val="auto"/>
        </w:rPr>
        <w:t>〕</w:t>
      </w:r>
      <w:r>
        <w:rPr>
          <w:rFonts w:ascii="Arial" w:cs="Arial" w:eastAsia="Arial" w:hAnsi="Arial"/>
          <w:sz w:val="30"/>
          <w:szCs w:val="30"/>
          <w:color w:val="auto"/>
        </w:rPr>
        <w:t xml:space="preserve">230 </w:t>
      </w:r>
      <w:r>
        <w:rPr>
          <w:rFonts w:ascii="宋体" w:cs="宋体" w:eastAsia="宋体" w:hAnsi="宋体"/>
          <w:sz w:val="30"/>
          <w:szCs w:val="30"/>
          <w:color w:val="auto"/>
        </w:rPr>
        <w:t>号）</w:t>
      </w:r>
    </w:p>
    <w:p>
      <w:pPr>
        <w:spacing w:after="0" w:line="257"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中的《金融企业国有资产评估报告指南》同时废止。</w:t>
      </w:r>
    </w:p>
    <w:p>
      <w:pPr>
        <w:sectPr>
          <w:pgSz w:w="11900" w:h="16838" w:orient="portrait"/>
          <w:cols w:equalWidth="0" w:num="1">
            <w:col w:w="9026"/>
          </w:cols>
          <w:pgMar w:left="1440" w:top="1440" w:right="1440" w:bottom="1055" w:gutter="0" w:footer="0" w:header="0"/>
        </w:sectPr>
      </w:pPr>
    </w:p>
    <w:bookmarkStart w:id="19" w:name="page20"/>
    <w:bookmarkEnd w:id="19"/>
    <w:p>
      <w:pPr>
        <w:spacing w:after="0" w:line="200" w:lineRule="exact"/>
        <w:rPr>
          <w:sz w:val="20"/>
          <w:szCs w:val="20"/>
          <w:color w:val="auto"/>
        </w:rPr>
      </w:pPr>
    </w:p>
    <w:p>
      <w:pPr>
        <w:spacing w:after="0" w:line="200" w:lineRule="exact"/>
        <w:rPr>
          <w:sz w:val="20"/>
          <w:szCs w:val="20"/>
          <w:color w:val="auto"/>
        </w:rPr>
      </w:pPr>
    </w:p>
    <w:p>
      <w:pPr>
        <w:spacing w:after="0" w:line="305" w:lineRule="exact"/>
        <w:rPr>
          <w:sz w:val="20"/>
          <w:szCs w:val="20"/>
          <w:color w:val="auto"/>
        </w:rPr>
      </w:pPr>
    </w:p>
    <w:p>
      <w:pPr>
        <w:ind w:left="1000"/>
        <w:spacing w:after="0" w:line="388" w:lineRule="exact"/>
        <w:rPr>
          <w:sz w:val="20"/>
          <w:szCs w:val="20"/>
          <w:color w:val="auto"/>
        </w:rPr>
      </w:pPr>
      <w:r>
        <w:rPr>
          <w:rFonts w:ascii="宋体" w:cs="宋体" w:eastAsia="宋体" w:hAnsi="宋体"/>
          <w:sz w:val="32"/>
          <w:szCs w:val="32"/>
          <w:color w:val="auto"/>
        </w:rPr>
        <w:t>附：</w:t>
      </w:r>
      <w:r>
        <w:rPr>
          <w:rFonts w:ascii="Arial" w:cs="Arial" w:eastAsia="Arial" w:hAnsi="Arial"/>
          <w:sz w:val="32"/>
          <w:szCs w:val="32"/>
          <w:color w:val="auto"/>
        </w:rPr>
        <w:t>1. “</w:t>
      </w:r>
      <w:r>
        <w:rPr>
          <w:rFonts w:ascii="宋体" w:cs="宋体" w:eastAsia="宋体" w:hAnsi="宋体"/>
          <w:sz w:val="32"/>
          <w:szCs w:val="32"/>
          <w:color w:val="auto"/>
        </w:rPr>
        <w:t>声明</w:t>
      </w:r>
      <w:r>
        <w:rPr>
          <w:rFonts w:ascii="Arial" w:cs="Arial" w:eastAsia="Arial" w:hAnsi="Arial"/>
          <w:sz w:val="32"/>
          <w:szCs w:val="32"/>
          <w:color w:val="auto"/>
        </w:rPr>
        <w:t>”</w:t>
      </w:r>
      <w:r>
        <w:rPr>
          <w:rFonts w:ascii="宋体" w:cs="宋体" w:eastAsia="宋体" w:hAnsi="宋体"/>
          <w:sz w:val="32"/>
          <w:szCs w:val="32"/>
          <w:color w:val="auto"/>
        </w:rPr>
        <w:t>编写指引（供参考）</w:t>
      </w:r>
    </w:p>
    <w:p>
      <w:pPr>
        <w:spacing w:after="0" w:line="236" w:lineRule="exact"/>
        <w:rPr>
          <w:sz w:val="20"/>
          <w:szCs w:val="20"/>
          <w:color w:val="auto"/>
        </w:rPr>
      </w:pPr>
    </w:p>
    <w:p>
      <w:pPr>
        <w:ind w:left="1640"/>
        <w:spacing w:after="0" w:line="388" w:lineRule="exact"/>
        <w:rPr>
          <w:sz w:val="20"/>
          <w:szCs w:val="20"/>
          <w:color w:val="auto"/>
        </w:rPr>
      </w:pPr>
      <w:r>
        <w:rPr>
          <w:rFonts w:ascii="Arial" w:cs="Arial" w:eastAsia="Arial" w:hAnsi="Arial"/>
          <w:sz w:val="32"/>
          <w:szCs w:val="32"/>
          <w:color w:val="auto"/>
        </w:rPr>
        <w:t>2.“</w:t>
      </w:r>
      <w:r>
        <w:rPr>
          <w:rFonts w:ascii="宋体" w:cs="宋体" w:eastAsia="宋体" w:hAnsi="宋体"/>
          <w:sz w:val="32"/>
          <w:szCs w:val="32"/>
          <w:color w:val="auto"/>
        </w:rPr>
        <w:t>资产评估师承诺函</w:t>
      </w:r>
      <w:r>
        <w:rPr>
          <w:rFonts w:ascii="Arial" w:cs="Arial" w:eastAsia="Arial" w:hAnsi="Arial"/>
          <w:sz w:val="32"/>
          <w:szCs w:val="32"/>
          <w:color w:val="auto"/>
        </w:rPr>
        <w:t>”</w:t>
      </w:r>
      <w:r>
        <w:rPr>
          <w:rFonts w:ascii="宋体" w:cs="宋体" w:eastAsia="宋体" w:hAnsi="宋体"/>
          <w:sz w:val="32"/>
          <w:szCs w:val="32"/>
          <w:color w:val="auto"/>
        </w:rPr>
        <w:t>编写指引（供参考）</w:t>
      </w:r>
    </w:p>
    <w:p>
      <w:pPr>
        <w:spacing w:after="0" w:line="236" w:lineRule="exact"/>
        <w:rPr>
          <w:sz w:val="20"/>
          <w:szCs w:val="20"/>
          <w:color w:val="auto"/>
        </w:rPr>
      </w:pPr>
    </w:p>
    <w:p>
      <w:pPr>
        <w:ind w:left="1640"/>
        <w:spacing w:after="0" w:line="388" w:lineRule="exact"/>
        <w:rPr>
          <w:sz w:val="20"/>
          <w:szCs w:val="20"/>
          <w:color w:val="auto"/>
        </w:rPr>
      </w:pPr>
      <w:r>
        <w:rPr>
          <w:rFonts w:ascii="Arial" w:cs="Arial" w:eastAsia="Arial" w:hAnsi="Arial"/>
          <w:sz w:val="32"/>
          <w:szCs w:val="32"/>
          <w:color w:val="auto"/>
        </w:rPr>
        <w:t>3.</w:t>
      </w:r>
      <w:r>
        <w:rPr>
          <w:rFonts w:ascii="宋体" w:cs="宋体" w:eastAsia="宋体" w:hAnsi="宋体"/>
          <w:sz w:val="32"/>
          <w:szCs w:val="32"/>
          <w:color w:val="auto"/>
        </w:rPr>
        <w:t>《企业关于进行资产评估有关事项的说明》编写</w:t>
      </w:r>
    </w:p>
    <w:p>
      <w:pPr>
        <w:spacing w:after="0" w:line="259" w:lineRule="exact"/>
        <w:rPr>
          <w:sz w:val="20"/>
          <w:szCs w:val="20"/>
          <w:color w:val="auto"/>
        </w:rPr>
      </w:pPr>
    </w:p>
    <w:p>
      <w:pPr>
        <w:ind w:left="2120"/>
        <w:spacing w:after="0" w:line="366" w:lineRule="exact"/>
        <w:rPr>
          <w:sz w:val="20"/>
          <w:szCs w:val="20"/>
          <w:color w:val="auto"/>
        </w:rPr>
      </w:pPr>
      <w:r>
        <w:rPr>
          <w:rFonts w:ascii="宋体" w:cs="宋体" w:eastAsia="宋体" w:hAnsi="宋体"/>
          <w:sz w:val="32"/>
          <w:szCs w:val="32"/>
          <w:color w:val="auto"/>
        </w:rPr>
        <w:t>指引（供参考）</w:t>
      </w:r>
    </w:p>
    <w:p>
      <w:pPr>
        <w:spacing w:after="0" w:line="236" w:lineRule="exact"/>
        <w:rPr>
          <w:sz w:val="20"/>
          <w:szCs w:val="20"/>
          <w:color w:val="auto"/>
        </w:rPr>
      </w:pPr>
    </w:p>
    <w:p>
      <w:pPr>
        <w:jc w:val="center"/>
        <w:ind w:right="-13"/>
        <w:spacing w:after="0" w:line="388" w:lineRule="exact"/>
        <w:rPr>
          <w:sz w:val="20"/>
          <w:szCs w:val="20"/>
          <w:color w:val="auto"/>
        </w:rPr>
      </w:pPr>
      <w:r>
        <w:rPr>
          <w:rFonts w:ascii="Arial" w:cs="Arial" w:eastAsia="Arial" w:hAnsi="Arial"/>
          <w:sz w:val="32"/>
          <w:szCs w:val="32"/>
          <w:color w:val="auto"/>
        </w:rPr>
        <w:t>4.</w:t>
      </w:r>
      <w:r>
        <w:rPr>
          <w:rFonts w:ascii="宋体" w:cs="宋体" w:eastAsia="宋体" w:hAnsi="宋体"/>
          <w:sz w:val="32"/>
          <w:szCs w:val="32"/>
          <w:color w:val="auto"/>
        </w:rPr>
        <w:t>《资产评估说明》编写指引（供参考）</w:t>
      </w:r>
    </w:p>
    <w:p>
      <w:pPr>
        <w:sectPr>
          <w:pgSz w:w="11900" w:h="16838" w:orient="portrait"/>
          <w:cols w:equalWidth="0" w:num="1">
            <w:col w:w="9026"/>
          </w:cols>
          <w:pgMar w:left="1440" w:top="1440" w:right="1440" w:bottom="1440" w:gutter="0" w:footer="0" w:header="0"/>
        </w:sectPr>
      </w:pPr>
    </w:p>
    <w:bookmarkStart w:id="20" w:name="page21"/>
    <w:bookmarkEnd w:id="20"/>
    <w:p>
      <w:pPr>
        <w:spacing w:after="0" w:line="104"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 xml:space="preserve">附 </w:t>
      </w:r>
      <w:r>
        <w:rPr>
          <w:rFonts w:ascii="黑体" w:cs="黑体" w:eastAsia="黑体" w:hAnsi="黑体"/>
          <w:sz w:val="32"/>
          <w:szCs w:val="32"/>
          <w:color w:val="auto"/>
        </w:rPr>
        <w:t>1</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61" w:lineRule="exact"/>
        <w:rPr>
          <w:sz w:val="20"/>
          <w:szCs w:val="20"/>
          <w:color w:val="auto"/>
        </w:rPr>
      </w:pPr>
    </w:p>
    <w:p>
      <w:pPr>
        <w:jc w:val="center"/>
        <w:ind w:right="-633"/>
        <w:spacing w:after="0" w:line="388" w:lineRule="exact"/>
        <w:rPr>
          <w:sz w:val="20"/>
          <w:szCs w:val="20"/>
          <w:color w:val="auto"/>
        </w:rPr>
      </w:pPr>
      <w:r>
        <w:rPr>
          <w:rFonts w:ascii="Arial" w:cs="Arial" w:eastAsia="Arial" w:hAnsi="Arial"/>
          <w:sz w:val="32"/>
          <w:szCs w:val="32"/>
          <w:color w:val="auto"/>
        </w:rPr>
        <w:t>“</w:t>
      </w:r>
      <w:r>
        <w:rPr>
          <w:rFonts w:ascii="宋体" w:cs="宋体" w:eastAsia="宋体" w:hAnsi="宋体"/>
          <w:sz w:val="32"/>
          <w:szCs w:val="32"/>
          <w:color w:val="auto"/>
        </w:rPr>
        <w:t>声明</w:t>
      </w:r>
      <w:r>
        <w:rPr>
          <w:rFonts w:ascii="Arial" w:cs="Arial" w:eastAsia="Arial" w:hAnsi="Arial"/>
          <w:sz w:val="32"/>
          <w:szCs w:val="32"/>
          <w:color w:val="auto"/>
        </w:rPr>
        <w:t>”</w:t>
      </w:r>
      <w:r>
        <w:rPr>
          <w:rFonts w:ascii="宋体" w:cs="宋体" w:eastAsia="宋体" w:hAnsi="宋体"/>
          <w:sz w:val="32"/>
          <w:szCs w:val="32"/>
          <w:color w:val="auto"/>
        </w:rPr>
        <w:t>编写指引</w:t>
      </w:r>
    </w:p>
    <w:p>
      <w:pPr>
        <w:spacing w:after="0" w:line="273" w:lineRule="exact"/>
        <w:rPr>
          <w:sz w:val="20"/>
          <w:szCs w:val="20"/>
          <w:color w:val="auto"/>
        </w:rPr>
      </w:pPr>
    </w:p>
    <w:p>
      <w:pPr>
        <w:jc w:val="center"/>
        <w:ind w:right="-593"/>
        <w:spacing w:after="0" w:line="343" w:lineRule="exact"/>
        <w:rPr>
          <w:sz w:val="20"/>
          <w:szCs w:val="20"/>
          <w:color w:val="auto"/>
        </w:rPr>
      </w:pPr>
      <w:r>
        <w:rPr>
          <w:rFonts w:ascii="宋体" w:cs="宋体" w:eastAsia="宋体" w:hAnsi="宋体"/>
          <w:sz w:val="30"/>
          <w:szCs w:val="30"/>
          <w:color w:val="auto"/>
        </w:rPr>
        <w:t>（供参考）</w:t>
      </w:r>
    </w:p>
    <w:p>
      <w:pPr>
        <w:spacing w:after="0" w:line="316" w:lineRule="exact"/>
        <w:rPr>
          <w:sz w:val="20"/>
          <w:szCs w:val="20"/>
          <w:color w:val="auto"/>
        </w:rPr>
      </w:pPr>
    </w:p>
    <w:p>
      <w:pPr>
        <w:jc w:val="both"/>
        <w:ind w:left="360" w:right="366" w:firstLine="641"/>
        <w:spacing w:after="0" w:line="522" w:lineRule="exact"/>
        <w:rPr>
          <w:sz w:val="20"/>
          <w:szCs w:val="20"/>
          <w:color w:val="auto"/>
        </w:rPr>
      </w:pPr>
      <w:r>
        <w:rPr>
          <w:rFonts w:ascii="宋体" w:cs="宋体" w:eastAsia="宋体" w:hAnsi="宋体"/>
          <w:sz w:val="32"/>
          <w:szCs w:val="32"/>
          <w:color w:val="auto"/>
        </w:rPr>
        <w:t>一、本资产评估报告依据财政部发布的资产评估基本准则和中国资产评估协会发布的资产评估执业准则和职业道德准则编制。</w:t>
      </w:r>
    </w:p>
    <w:p>
      <w:pPr>
        <w:spacing w:after="0" w:line="308" w:lineRule="exact"/>
        <w:rPr>
          <w:sz w:val="20"/>
          <w:szCs w:val="20"/>
          <w:color w:val="auto"/>
        </w:rPr>
      </w:pPr>
    </w:p>
    <w:p>
      <w:pPr>
        <w:jc w:val="both"/>
        <w:ind w:left="360" w:right="366" w:firstLine="641"/>
        <w:spacing w:after="0" w:line="562" w:lineRule="exact"/>
        <w:rPr>
          <w:sz w:val="20"/>
          <w:szCs w:val="20"/>
          <w:color w:val="auto"/>
        </w:rPr>
      </w:pPr>
      <w:r>
        <w:rPr>
          <w:rFonts w:ascii="宋体" w:cs="宋体" w:eastAsia="宋体" w:hAnsi="宋体"/>
          <w:sz w:val="32"/>
          <w:szCs w:val="32"/>
          <w:color w:val="auto"/>
        </w:rPr>
        <w:t>二、委托人或者其他资产评估报告使用人应当按照法律行政法规规定和本资产评估报告载明的使用范围使用资产评估报告；委托人或者其他资产评估报告使用人违反前述规定使用资产评估报告的，本资产评估机构及资产评估师不承担责任。</w:t>
      </w:r>
    </w:p>
    <w:p>
      <w:pPr>
        <w:spacing w:after="0" w:line="314" w:lineRule="exact"/>
        <w:rPr>
          <w:sz w:val="20"/>
          <w:szCs w:val="20"/>
          <w:color w:val="auto"/>
        </w:rPr>
      </w:pPr>
    </w:p>
    <w:p>
      <w:pPr>
        <w:jc w:val="both"/>
        <w:ind w:left="360" w:right="366" w:firstLine="641"/>
        <w:spacing w:after="0" w:line="546" w:lineRule="exact"/>
        <w:rPr>
          <w:sz w:val="20"/>
          <w:szCs w:val="20"/>
          <w:color w:val="auto"/>
        </w:rPr>
      </w:pPr>
      <w:r>
        <w:rPr>
          <w:rFonts w:ascii="宋体" w:cs="宋体" w:eastAsia="宋体" w:hAnsi="宋体"/>
          <w:sz w:val="32"/>
          <w:szCs w:val="32"/>
          <w:color w:val="auto"/>
        </w:rPr>
        <w:t>本资产评估报告仅供委托人、资产评估委托合同中约定的其他资产评估报告使用人和法律、行政法规规定的资产评估报告使用人使用；除此之外，其他任何机构和个人不能成为资产评估报告的使用人。</w:t>
      </w:r>
    </w:p>
    <w:p>
      <w:pPr>
        <w:spacing w:after="0" w:line="312" w:lineRule="exact"/>
        <w:rPr>
          <w:sz w:val="20"/>
          <w:szCs w:val="20"/>
          <w:color w:val="auto"/>
        </w:rPr>
      </w:pPr>
    </w:p>
    <w:p>
      <w:pPr>
        <w:jc w:val="both"/>
        <w:ind w:left="360" w:right="366" w:firstLine="641"/>
        <w:spacing w:after="0" w:line="546" w:lineRule="exact"/>
        <w:rPr>
          <w:sz w:val="20"/>
          <w:szCs w:val="20"/>
          <w:color w:val="auto"/>
        </w:rPr>
      </w:pPr>
      <w:r>
        <w:rPr>
          <w:rFonts w:ascii="宋体" w:cs="宋体" w:eastAsia="宋体" w:hAnsi="宋体"/>
          <w:sz w:val="32"/>
          <w:szCs w:val="32"/>
          <w:color w:val="auto"/>
        </w:rPr>
        <w:t>本资产评估机构及资产评估师提示资产评估报告使用人应当正确理解评估结论，评估结论不等同于评估对象可实现价格，评估结论不应当被认为是对评估对象可实现价格的保证。</w:t>
      </w:r>
    </w:p>
    <w:p>
      <w:pPr>
        <w:spacing w:after="0" w:line="313" w:lineRule="exact"/>
        <w:rPr>
          <w:sz w:val="20"/>
          <w:szCs w:val="20"/>
          <w:color w:val="auto"/>
        </w:rPr>
      </w:pPr>
    </w:p>
    <w:p>
      <w:pPr>
        <w:jc w:val="both"/>
        <w:ind w:left="360" w:right="366" w:firstLine="641"/>
        <w:spacing w:after="0" w:line="470" w:lineRule="exact"/>
        <w:rPr>
          <w:sz w:val="20"/>
          <w:szCs w:val="20"/>
          <w:color w:val="auto"/>
        </w:rPr>
      </w:pPr>
      <w:r>
        <w:rPr>
          <w:rFonts w:ascii="宋体" w:cs="宋体" w:eastAsia="宋体" w:hAnsi="宋体"/>
          <w:sz w:val="31"/>
          <w:szCs w:val="31"/>
          <w:color w:val="auto"/>
        </w:rPr>
        <w:t>三、本资产评估机构及资产评估师遵守法律、行政法规和资产评估准则，坚持独立、客观和公正的原则，并对所出</w:t>
      </w:r>
    </w:p>
    <w:p>
      <w:pPr>
        <w:sectPr>
          <w:pgSz w:w="11900" w:h="16838" w:orient="portrait"/>
          <w:cols w:equalWidth="0" w:num="1">
            <w:col w:w="9026"/>
          </w:cols>
          <w:pgMar w:left="1440" w:top="1440" w:right="1440" w:bottom="1440" w:gutter="0" w:footer="0" w:header="0"/>
        </w:sectPr>
      </w:pPr>
    </w:p>
    <w:bookmarkStart w:id="21" w:name="page22"/>
    <w:bookmarkEnd w:id="21"/>
    <w:p>
      <w:pPr>
        <w:spacing w:after="0" w:line="104"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具的资产评估报告依法承担责任。</w:t>
      </w:r>
    </w:p>
    <w:p>
      <w:pPr>
        <w:spacing w:after="0" w:line="307" w:lineRule="exact"/>
        <w:rPr>
          <w:sz w:val="20"/>
          <w:szCs w:val="20"/>
          <w:color w:val="auto"/>
        </w:rPr>
      </w:pPr>
    </w:p>
    <w:p>
      <w:pPr>
        <w:jc w:val="both"/>
        <w:ind w:left="360" w:right="206" w:firstLine="641"/>
        <w:spacing w:after="0" w:line="546" w:lineRule="exact"/>
        <w:rPr>
          <w:sz w:val="20"/>
          <w:szCs w:val="20"/>
          <w:color w:val="auto"/>
        </w:rPr>
      </w:pPr>
      <w:r>
        <w:rPr>
          <w:rFonts w:ascii="宋体" w:cs="宋体" w:eastAsia="宋体" w:hAnsi="宋体"/>
          <w:sz w:val="32"/>
          <w:szCs w:val="32"/>
          <w:color w:val="auto"/>
        </w:rPr>
        <w:t>四、评估对象涉及的资产、负债清单由委托人、被评估单位申报并经其采用签名、盖章或者法律允许的其他方式确认；委托人和其他相关当事人依法对其提供资料的真实性、完整性、合法性负责。</w:t>
      </w:r>
    </w:p>
    <w:p>
      <w:pPr>
        <w:spacing w:after="0" w:line="312" w:lineRule="exact"/>
        <w:rPr>
          <w:sz w:val="20"/>
          <w:szCs w:val="20"/>
          <w:color w:val="auto"/>
        </w:rPr>
      </w:pPr>
    </w:p>
    <w:p>
      <w:pPr>
        <w:jc w:val="both"/>
        <w:ind w:left="360" w:right="366" w:firstLine="641"/>
        <w:spacing w:after="0" w:line="522" w:lineRule="exact"/>
        <w:rPr>
          <w:sz w:val="20"/>
          <w:szCs w:val="20"/>
          <w:color w:val="auto"/>
        </w:rPr>
      </w:pPr>
      <w:r>
        <w:rPr>
          <w:rFonts w:ascii="宋体" w:cs="宋体" w:eastAsia="宋体" w:hAnsi="宋体"/>
          <w:sz w:val="31"/>
          <w:szCs w:val="31"/>
          <w:color w:val="auto"/>
        </w:rPr>
        <w:t>五、本资产评估机构及资产评估师与资产评估报告中的评估对象没有现存或者预期的利益关系；与相关当事人没有现存或者预期的利益关系，对相关当事人不存在偏见。</w:t>
      </w:r>
    </w:p>
    <w:p>
      <w:pPr>
        <w:spacing w:after="0" w:line="308" w:lineRule="exact"/>
        <w:rPr>
          <w:sz w:val="20"/>
          <w:szCs w:val="20"/>
          <w:color w:val="auto"/>
        </w:rPr>
      </w:pPr>
    </w:p>
    <w:p>
      <w:pPr>
        <w:jc w:val="both"/>
        <w:ind w:left="360" w:right="366" w:firstLine="641"/>
        <w:spacing w:after="0" w:line="572" w:lineRule="exact"/>
        <w:rPr>
          <w:sz w:val="20"/>
          <w:szCs w:val="20"/>
          <w:color w:val="auto"/>
        </w:rPr>
      </w:pPr>
      <w:r>
        <w:rPr>
          <w:rFonts w:ascii="宋体" w:cs="宋体" w:eastAsia="宋体" w:hAnsi="宋体"/>
          <w:sz w:val="32"/>
          <w:szCs w:val="32"/>
          <w:color w:val="auto"/>
        </w:rPr>
        <w:t>六、资产评估师已经（或者未）对资产评估报告中的评估对象及其所涉及资产进行现场调查；我们已经对评估对象及其所涉及资产的法律权属状况给予必要的关注，对评估对象及其所涉及资产的法律权属资料进行了查验，对已经发现的问题进行了如实披露，并且已提请委托人及其他相关当事人完善产权以满足出具资产评估报告的要求。</w:t>
      </w:r>
    </w:p>
    <w:p>
      <w:pPr>
        <w:spacing w:after="0" w:line="313" w:lineRule="exact"/>
        <w:rPr>
          <w:sz w:val="20"/>
          <w:szCs w:val="20"/>
          <w:color w:val="auto"/>
        </w:rPr>
      </w:pPr>
    </w:p>
    <w:p>
      <w:pPr>
        <w:jc w:val="both"/>
        <w:ind w:left="360" w:right="366" w:firstLine="641"/>
        <w:spacing w:after="0" w:line="546" w:lineRule="exact"/>
        <w:rPr>
          <w:sz w:val="20"/>
          <w:szCs w:val="20"/>
          <w:color w:val="auto"/>
        </w:rPr>
      </w:pPr>
      <w:r>
        <w:rPr>
          <w:rFonts w:ascii="宋体" w:cs="宋体" w:eastAsia="宋体" w:hAnsi="宋体"/>
          <w:sz w:val="32"/>
          <w:szCs w:val="32"/>
          <w:color w:val="auto"/>
        </w:rPr>
        <w:t>七、本资产评估机构出具的资产评估报告中的分析、判断和结果受资产评估报告中假设和限制条件的限制，资产评估报告使用人应当充分考虑资产评估报告中载明的假设、限制条件、特别事项说明及其对评估结论的影响。</w:t>
      </w:r>
    </w:p>
    <w:p>
      <w:pPr>
        <w:sectPr>
          <w:pgSz w:w="11900" w:h="16838" w:orient="portrait"/>
          <w:cols w:equalWidth="0" w:num="1">
            <w:col w:w="9026"/>
          </w:cols>
          <w:pgMar w:left="1440" w:top="1440" w:right="1440" w:bottom="1440" w:gutter="0" w:footer="0" w:header="0"/>
        </w:sectPr>
      </w:pPr>
    </w:p>
    <w:bookmarkStart w:id="22" w:name="page23"/>
    <w:bookmarkEnd w:id="22"/>
    <w:p>
      <w:pPr>
        <w:spacing w:after="0" w:line="104"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 xml:space="preserve">附 </w:t>
      </w:r>
      <w:r>
        <w:rPr>
          <w:rFonts w:ascii="黑体" w:cs="黑体" w:eastAsia="黑体" w:hAnsi="黑体"/>
          <w:sz w:val="32"/>
          <w:szCs w:val="32"/>
          <w:color w:val="auto"/>
        </w:rPr>
        <w:t>2</w:t>
      </w:r>
    </w:p>
    <w:p>
      <w:pPr>
        <w:spacing w:after="0" w:line="237" w:lineRule="exact"/>
        <w:rPr>
          <w:sz w:val="20"/>
          <w:szCs w:val="20"/>
          <w:color w:val="auto"/>
        </w:rPr>
      </w:pPr>
    </w:p>
    <w:p>
      <w:pPr>
        <w:ind w:left="2680"/>
        <w:spacing w:after="0" w:line="388" w:lineRule="exact"/>
        <w:rPr>
          <w:sz w:val="20"/>
          <w:szCs w:val="20"/>
          <w:color w:val="auto"/>
        </w:rPr>
      </w:pPr>
      <w:r>
        <w:rPr>
          <w:rFonts w:ascii="Arial" w:cs="Arial" w:eastAsia="Arial" w:hAnsi="Arial"/>
          <w:sz w:val="32"/>
          <w:szCs w:val="32"/>
          <w:color w:val="auto"/>
        </w:rPr>
        <w:t>“</w:t>
      </w:r>
      <w:r>
        <w:rPr>
          <w:rFonts w:ascii="宋体" w:cs="宋体" w:eastAsia="宋体" w:hAnsi="宋体"/>
          <w:sz w:val="32"/>
          <w:szCs w:val="32"/>
          <w:color w:val="auto"/>
        </w:rPr>
        <w:t>资产评估师承诺函</w:t>
      </w:r>
      <w:r>
        <w:rPr>
          <w:rFonts w:ascii="Arial" w:cs="Arial" w:eastAsia="Arial" w:hAnsi="Arial"/>
          <w:sz w:val="32"/>
          <w:szCs w:val="32"/>
          <w:color w:val="auto"/>
        </w:rPr>
        <w:t>”</w:t>
      </w:r>
      <w:r>
        <w:rPr>
          <w:rFonts w:ascii="宋体" w:cs="宋体" w:eastAsia="宋体" w:hAnsi="宋体"/>
          <w:sz w:val="32"/>
          <w:szCs w:val="32"/>
          <w:color w:val="auto"/>
        </w:rPr>
        <w:t>编写指引</w:t>
      </w:r>
    </w:p>
    <w:p>
      <w:pPr>
        <w:spacing w:after="0" w:line="259" w:lineRule="exact"/>
        <w:rPr>
          <w:sz w:val="20"/>
          <w:szCs w:val="20"/>
          <w:color w:val="auto"/>
        </w:rPr>
      </w:pPr>
    </w:p>
    <w:p>
      <w:pPr>
        <w:ind w:left="4040"/>
        <w:spacing w:after="0" w:line="366" w:lineRule="exact"/>
        <w:rPr>
          <w:sz w:val="20"/>
          <w:szCs w:val="20"/>
          <w:color w:val="auto"/>
        </w:rPr>
      </w:pPr>
      <w:r>
        <w:rPr>
          <w:rFonts w:ascii="宋体" w:cs="宋体" w:eastAsia="宋体" w:hAnsi="宋体"/>
          <w:sz w:val="32"/>
          <w:szCs w:val="32"/>
          <w:color w:val="auto"/>
        </w:rPr>
        <w:t>（供参考）</w:t>
      </w:r>
    </w:p>
    <w:p>
      <w:pPr>
        <w:spacing w:after="0" w:line="236" w:lineRule="exact"/>
        <w:rPr>
          <w:sz w:val="20"/>
          <w:szCs w:val="20"/>
          <w:color w:val="auto"/>
        </w:rPr>
      </w:pPr>
    </w:p>
    <w:p>
      <w:pPr>
        <w:ind w:left="1000"/>
        <w:spacing w:after="0" w:line="388" w:lineRule="exact"/>
        <w:rPr>
          <w:sz w:val="20"/>
          <w:szCs w:val="20"/>
          <w:color w:val="auto"/>
        </w:rPr>
      </w:pPr>
      <w:r>
        <w:rPr>
          <w:rFonts w:ascii="Arial" w:cs="Arial" w:eastAsia="Arial" w:hAnsi="Arial"/>
          <w:sz w:val="32"/>
          <w:szCs w:val="32"/>
          <w:color w:val="auto"/>
        </w:rPr>
        <w:t>×××</w:t>
      </w:r>
      <w:r>
        <w:rPr>
          <w:rFonts w:ascii="宋体" w:cs="宋体" w:eastAsia="宋体" w:hAnsi="宋体"/>
          <w:sz w:val="32"/>
          <w:szCs w:val="32"/>
          <w:color w:val="auto"/>
        </w:rPr>
        <w:t>公司（单位）：</w:t>
      </w:r>
    </w:p>
    <w:p>
      <w:pPr>
        <w:spacing w:after="0" w:line="307" w:lineRule="exact"/>
        <w:rPr>
          <w:sz w:val="20"/>
          <w:szCs w:val="20"/>
          <w:color w:val="auto"/>
        </w:rPr>
      </w:pPr>
    </w:p>
    <w:p>
      <w:pPr>
        <w:jc w:val="both"/>
        <w:ind w:left="360" w:right="366" w:firstLine="641"/>
        <w:spacing w:after="0" w:line="521" w:lineRule="exact"/>
        <w:rPr>
          <w:sz w:val="20"/>
          <w:szCs w:val="20"/>
          <w:color w:val="auto"/>
        </w:rPr>
      </w:pPr>
      <w:r>
        <w:rPr>
          <w:rFonts w:ascii="宋体" w:cs="宋体" w:eastAsia="宋体" w:hAnsi="宋体"/>
          <w:sz w:val="32"/>
          <w:szCs w:val="32"/>
          <w:color w:val="auto"/>
        </w:rPr>
        <w:t>受你单位的委托，我们对你单位拟实施</w:t>
      </w:r>
      <w:r>
        <w:rPr>
          <w:rFonts w:ascii="Arial" w:cs="Arial" w:eastAsia="Arial" w:hAnsi="Arial"/>
          <w:sz w:val="32"/>
          <w:szCs w:val="32"/>
          <w:color w:val="auto"/>
        </w:rPr>
        <w:t>×××</w:t>
      </w:r>
      <w:r>
        <w:rPr>
          <w:rFonts w:ascii="宋体" w:cs="宋体" w:eastAsia="宋体" w:hAnsi="宋体"/>
          <w:sz w:val="32"/>
          <w:szCs w:val="32"/>
          <w:color w:val="auto"/>
        </w:rPr>
        <w:t>行为（事宜）所涉及的</w:t>
      </w:r>
      <w:r>
        <w:rPr>
          <w:rFonts w:ascii="Arial" w:cs="Arial" w:eastAsia="Arial" w:hAnsi="Arial"/>
          <w:sz w:val="32"/>
          <w:szCs w:val="32"/>
          <w:color w:val="auto"/>
        </w:rPr>
        <w:t>×××</w:t>
      </w:r>
      <w:r>
        <w:rPr>
          <w:rFonts w:ascii="宋体" w:cs="宋体" w:eastAsia="宋体" w:hAnsi="宋体"/>
          <w:sz w:val="32"/>
          <w:szCs w:val="32"/>
          <w:color w:val="auto"/>
        </w:rPr>
        <w:t>（资产</w:t>
      </w:r>
      <w:r>
        <w:rPr>
          <w:rFonts w:ascii="Arial" w:cs="Arial" w:eastAsia="Arial" w:hAnsi="Arial"/>
          <w:sz w:val="32"/>
          <w:szCs w:val="32"/>
          <w:color w:val="auto"/>
        </w:rPr>
        <w:t>——</w:t>
      </w:r>
      <w:r>
        <w:rPr>
          <w:rFonts w:ascii="宋体" w:cs="宋体" w:eastAsia="宋体" w:hAnsi="宋体"/>
          <w:sz w:val="32"/>
          <w:szCs w:val="32"/>
          <w:color w:val="auto"/>
        </w:rPr>
        <w:t>单项资产或者资产组合、企业整体价值、股东全部权益、股东部分权益），以</w:t>
      </w:r>
      <w:r>
        <w:rPr>
          <w:rFonts w:ascii="Arial" w:cs="Arial" w:eastAsia="Arial" w:hAnsi="Arial"/>
          <w:sz w:val="32"/>
          <w:szCs w:val="32"/>
          <w:color w:val="auto"/>
        </w:rPr>
        <w:t>××××</w:t>
      </w:r>
    </w:p>
    <w:p>
      <w:pPr>
        <w:spacing w:after="0" w:line="241" w:lineRule="exact"/>
        <w:rPr>
          <w:sz w:val="20"/>
          <w:szCs w:val="20"/>
          <w:color w:val="auto"/>
        </w:rPr>
      </w:pPr>
    </w:p>
    <w:p>
      <w:pPr>
        <w:ind w:left="360"/>
        <w:spacing w:after="0" w:line="388" w:lineRule="exact"/>
        <w:rPr>
          <w:sz w:val="20"/>
          <w:szCs w:val="20"/>
          <w:color w:val="auto"/>
        </w:rPr>
      </w:pPr>
      <w:r>
        <w:rPr>
          <w:rFonts w:ascii="宋体" w:cs="宋体" w:eastAsia="宋体" w:hAnsi="宋体"/>
          <w:sz w:val="32"/>
          <w:szCs w:val="32"/>
          <w:color w:val="auto"/>
        </w:rPr>
        <w:t>年</w:t>
      </w:r>
      <w:r>
        <w:rPr>
          <w:rFonts w:ascii="Arial" w:cs="Arial" w:eastAsia="Arial" w:hAnsi="Arial"/>
          <w:sz w:val="32"/>
          <w:szCs w:val="32"/>
          <w:color w:val="auto"/>
        </w:rPr>
        <w:t>××</w:t>
      </w:r>
      <w:r>
        <w:rPr>
          <w:rFonts w:ascii="宋体" w:cs="宋体" w:eastAsia="宋体" w:hAnsi="宋体"/>
          <w:sz w:val="32"/>
          <w:szCs w:val="32"/>
          <w:color w:val="auto"/>
        </w:rPr>
        <w:t>月</w:t>
      </w:r>
      <w:r>
        <w:rPr>
          <w:rFonts w:ascii="Arial" w:cs="Arial" w:eastAsia="Arial" w:hAnsi="Arial"/>
          <w:sz w:val="32"/>
          <w:szCs w:val="32"/>
          <w:color w:val="auto"/>
        </w:rPr>
        <w:t>××</w:t>
      </w:r>
      <w:r>
        <w:rPr>
          <w:rFonts w:ascii="宋体" w:cs="宋体" w:eastAsia="宋体" w:hAnsi="宋体"/>
          <w:sz w:val="32"/>
          <w:szCs w:val="32"/>
          <w:color w:val="auto"/>
        </w:rPr>
        <w:t>日为基准日进行了评估，形成了资产评估报告。</w:t>
      </w:r>
    </w:p>
    <w:p>
      <w:pPr>
        <w:spacing w:after="0" w:line="259"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在本报告中披露的假设条件成立的前提下，我们承诺如下：</w:t>
      </w:r>
    </w:p>
    <w:p>
      <w:pPr>
        <w:spacing w:after="0" w:line="259" w:lineRule="exact"/>
        <w:rPr>
          <w:sz w:val="20"/>
          <w:szCs w:val="20"/>
          <w:color w:val="auto"/>
        </w:rPr>
      </w:pPr>
    </w:p>
    <w:p>
      <w:pPr>
        <w:ind w:left="1000"/>
        <w:spacing w:after="0" w:line="366" w:lineRule="exact"/>
        <w:rPr>
          <w:sz w:val="20"/>
          <w:szCs w:val="20"/>
          <w:color w:val="auto"/>
        </w:rPr>
      </w:pPr>
      <w:r>
        <w:rPr>
          <w:rFonts w:ascii="宋体" w:cs="宋体" w:eastAsia="宋体" w:hAnsi="宋体"/>
          <w:sz w:val="32"/>
          <w:szCs w:val="32"/>
          <w:color w:val="auto"/>
        </w:rPr>
        <w:t>一、具备相应的职业资格。</w:t>
      </w:r>
    </w:p>
    <w:p>
      <w:pPr>
        <w:spacing w:after="0" w:line="259" w:lineRule="exact"/>
        <w:rPr>
          <w:sz w:val="20"/>
          <w:szCs w:val="20"/>
          <w:color w:val="auto"/>
        </w:rPr>
      </w:pPr>
    </w:p>
    <w:p>
      <w:pPr>
        <w:ind w:left="1000"/>
        <w:spacing w:after="0" w:line="366" w:lineRule="exact"/>
        <w:rPr>
          <w:sz w:val="20"/>
          <w:szCs w:val="20"/>
          <w:color w:val="auto"/>
        </w:rPr>
      </w:pPr>
      <w:r>
        <w:rPr>
          <w:rFonts w:ascii="宋体" w:cs="宋体" w:eastAsia="宋体" w:hAnsi="宋体"/>
          <w:sz w:val="32"/>
          <w:szCs w:val="32"/>
          <w:color w:val="auto"/>
        </w:rPr>
        <w:t>二、评估对象和评估范围与资产评估委托合同的约定一</w:t>
      </w:r>
    </w:p>
    <w:p>
      <w:pPr>
        <w:spacing w:after="0" w:line="259"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致。</w:t>
      </w:r>
    </w:p>
    <w:p>
      <w:pPr>
        <w:spacing w:after="0" w:line="259" w:lineRule="exact"/>
        <w:rPr>
          <w:sz w:val="20"/>
          <w:szCs w:val="20"/>
          <w:color w:val="auto"/>
        </w:rPr>
      </w:pPr>
    </w:p>
    <w:p>
      <w:pPr>
        <w:ind w:left="1000"/>
        <w:spacing w:after="0" w:line="366" w:lineRule="exact"/>
        <w:rPr>
          <w:sz w:val="20"/>
          <w:szCs w:val="20"/>
          <w:color w:val="auto"/>
        </w:rPr>
      </w:pPr>
      <w:r>
        <w:rPr>
          <w:rFonts w:ascii="宋体" w:cs="宋体" w:eastAsia="宋体" w:hAnsi="宋体"/>
          <w:sz w:val="32"/>
          <w:szCs w:val="32"/>
          <w:color w:val="auto"/>
        </w:rPr>
        <w:t>三、对评估对象及其所涉及的资产进行了必要的核实。</w:t>
      </w:r>
    </w:p>
    <w:p>
      <w:pPr>
        <w:spacing w:after="0" w:line="259" w:lineRule="exact"/>
        <w:rPr>
          <w:sz w:val="20"/>
          <w:szCs w:val="20"/>
          <w:color w:val="auto"/>
        </w:rPr>
      </w:pPr>
    </w:p>
    <w:p>
      <w:pPr>
        <w:ind w:left="1000"/>
        <w:spacing w:after="0" w:line="366" w:lineRule="exact"/>
        <w:rPr>
          <w:sz w:val="20"/>
          <w:szCs w:val="20"/>
          <w:color w:val="auto"/>
        </w:rPr>
      </w:pPr>
      <w:r>
        <w:rPr>
          <w:rFonts w:ascii="宋体" w:cs="宋体" w:eastAsia="宋体" w:hAnsi="宋体"/>
          <w:sz w:val="32"/>
          <w:szCs w:val="32"/>
          <w:color w:val="auto"/>
        </w:rPr>
        <w:t>四、根据资产评估准则选用了适当的评估方法。</w:t>
      </w:r>
    </w:p>
    <w:p>
      <w:pPr>
        <w:spacing w:after="0" w:line="259" w:lineRule="exact"/>
        <w:rPr>
          <w:sz w:val="20"/>
          <w:szCs w:val="20"/>
          <w:color w:val="auto"/>
        </w:rPr>
      </w:pPr>
    </w:p>
    <w:p>
      <w:pPr>
        <w:ind w:left="1000"/>
        <w:spacing w:after="0" w:line="366" w:lineRule="exact"/>
        <w:rPr>
          <w:sz w:val="20"/>
          <w:szCs w:val="20"/>
          <w:color w:val="auto"/>
        </w:rPr>
      </w:pPr>
      <w:r>
        <w:rPr>
          <w:rFonts w:ascii="宋体" w:cs="宋体" w:eastAsia="宋体" w:hAnsi="宋体"/>
          <w:sz w:val="32"/>
          <w:szCs w:val="32"/>
          <w:color w:val="auto"/>
        </w:rPr>
        <w:t>五、充分考虑了影响评估价值的因素。</w:t>
      </w:r>
    </w:p>
    <w:p>
      <w:pPr>
        <w:spacing w:after="0" w:line="259" w:lineRule="exact"/>
        <w:rPr>
          <w:sz w:val="20"/>
          <w:szCs w:val="20"/>
          <w:color w:val="auto"/>
        </w:rPr>
      </w:pPr>
    </w:p>
    <w:p>
      <w:pPr>
        <w:ind w:left="1000"/>
        <w:spacing w:after="0" w:line="366" w:lineRule="exact"/>
        <w:rPr>
          <w:sz w:val="20"/>
          <w:szCs w:val="20"/>
          <w:color w:val="auto"/>
        </w:rPr>
      </w:pPr>
      <w:r>
        <w:rPr>
          <w:rFonts w:ascii="宋体" w:cs="宋体" w:eastAsia="宋体" w:hAnsi="宋体"/>
          <w:sz w:val="32"/>
          <w:szCs w:val="32"/>
          <w:color w:val="auto"/>
        </w:rPr>
        <w:t>六、评估结论合理。</w:t>
      </w:r>
    </w:p>
    <w:p>
      <w:pPr>
        <w:spacing w:after="0" w:line="259" w:lineRule="exact"/>
        <w:rPr>
          <w:sz w:val="20"/>
          <w:szCs w:val="20"/>
          <w:color w:val="auto"/>
        </w:rPr>
      </w:pPr>
    </w:p>
    <w:p>
      <w:pPr>
        <w:ind w:left="1000"/>
        <w:spacing w:after="0" w:line="366" w:lineRule="exact"/>
        <w:rPr>
          <w:sz w:val="20"/>
          <w:szCs w:val="20"/>
          <w:color w:val="auto"/>
        </w:rPr>
      </w:pPr>
      <w:r>
        <w:rPr>
          <w:rFonts w:ascii="宋体" w:cs="宋体" w:eastAsia="宋体" w:hAnsi="宋体"/>
          <w:sz w:val="32"/>
          <w:szCs w:val="32"/>
          <w:color w:val="auto"/>
        </w:rPr>
        <w:t>七、评估工作未受到非法干预并独立进行。</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83" w:lineRule="exact"/>
        <w:rPr>
          <w:sz w:val="20"/>
          <w:szCs w:val="20"/>
          <w:color w:val="auto"/>
        </w:rPr>
      </w:pPr>
    </w:p>
    <w:p>
      <w:pPr>
        <w:ind w:left="5480"/>
        <w:spacing w:after="0" w:line="366" w:lineRule="exact"/>
        <w:rPr>
          <w:sz w:val="20"/>
          <w:szCs w:val="20"/>
          <w:color w:val="auto"/>
        </w:rPr>
      </w:pPr>
      <w:r>
        <w:rPr>
          <w:rFonts w:ascii="宋体" w:cs="宋体" w:eastAsia="宋体" w:hAnsi="宋体"/>
          <w:sz w:val="32"/>
          <w:szCs w:val="32"/>
          <w:color w:val="auto"/>
        </w:rPr>
        <w:t>资产评估师签名：</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84" w:lineRule="exact"/>
        <w:rPr>
          <w:sz w:val="20"/>
          <w:szCs w:val="20"/>
          <w:color w:val="auto"/>
        </w:rPr>
      </w:pPr>
    </w:p>
    <w:p>
      <w:pPr>
        <w:ind w:left="5800"/>
        <w:spacing w:after="0" w:line="366" w:lineRule="exact"/>
        <w:tabs>
          <w:tab w:leader="none" w:pos="6420" w:val="left"/>
          <w:tab w:leader="none" w:pos="7060" w:val="left"/>
        </w:tabs>
        <w:rPr>
          <w:sz w:val="20"/>
          <w:szCs w:val="20"/>
          <w:color w:val="auto"/>
        </w:rPr>
      </w:pPr>
      <w:r>
        <w:rPr>
          <w:rFonts w:ascii="宋体" w:cs="宋体" w:eastAsia="宋体" w:hAnsi="宋体"/>
          <w:sz w:val="32"/>
          <w:szCs w:val="32"/>
          <w:color w:val="auto"/>
        </w:rPr>
        <w:t>年</w:t>
        <w:tab/>
        <w:t>月</w:t>
        <w:tab/>
        <w:t>日</w:t>
      </w:r>
    </w:p>
    <w:p>
      <w:pPr>
        <w:sectPr>
          <w:pgSz w:w="11900" w:h="16838" w:orient="portrait"/>
          <w:cols w:equalWidth="0" w:num="1">
            <w:col w:w="9026"/>
          </w:cols>
          <w:pgMar w:left="1440" w:top="1440" w:right="1440" w:bottom="1440" w:gutter="0" w:footer="0" w:header="0"/>
        </w:sectPr>
      </w:pPr>
    </w:p>
    <w:bookmarkStart w:id="23" w:name="page24"/>
    <w:bookmarkEnd w:id="23"/>
    <w:p>
      <w:pPr>
        <w:spacing w:after="0" w:line="104"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 xml:space="preserve">附 </w:t>
      </w:r>
      <w:r>
        <w:rPr>
          <w:rFonts w:ascii="黑体" w:cs="黑体" w:eastAsia="黑体" w:hAnsi="黑体"/>
          <w:sz w:val="32"/>
          <w:szCs w:val="32"/>
          <w:color w:val="auto"/>
        </w:rPr>
        <w:t>3</w:t>
      </w:r>
    </w:p>
    <w:p>
      <w:pPr>
        <w:spacing w:after="0" w:line="200" w:lineRule="exact"/>
        <w:rPr>
          <w:sz w:val="20"/>
          <w:szCs w:val="20"/>
          <w:color w:val="auto"/>
        </w:rPr>
      </w:pPr>
    </w:p>
    <w:p>
      <w:pPr>
        <w:spacing w:after="0" w:line="215" w:lineRule="exact"/>
        <w:rPr>
          <w:sz w:val="20"/>
          <w:szCs w:val="20"/>
          <w:color w:val="auto"/>
        </w:rPr>
      </w:pPr>
    </w:p>
    <w:p>
      <w:pPr>
        <w:ind w:left="1160"/>
        <w:spacing w:after="0" w:line="366" w:lineRule="exact"/>
        <w:rPr>
          <w:sz w:val="20"/>
          <w:szCs w:val="20"/>
          <w:color w:val="auto"/>
        </w:rPr>
      </w:pPr>
      <w:r>
        <w:rPr>
          <w:rFonts w:ascii="宋体" w:cs="宋体" w:eastAsia="宋体" w:hAnsi="宋体"/>
          <w:sz w:val="32"/>
          <w:szCs w:val="32"/>
          <w:color w:val="auto"/>
        </w:rPr>
        <w:t>《企业关于进行资产评估有关事项的说明》编写指引</w:t>
      </w:r>
    </w:p>
    <w:p>
      <w:pPr>
        <w:spacing w:after="0" w:line="200" w:lineRule="exact"/>
        <w:rPr>
          <w:sz w:val="20"/>
          <w:szCs w:val="20"/>
          <w:color w:val="auto"/>
        </w:rPr>
      </w:pPr>
    </w:p>
    <w:p>
      <w:pPr>
        <w:spacing w:after="0" w:line="215" w:lineRule="exact"/>
        <w:rPr>
          <w:sz w:val="20"/>
          <w:szCs w:val="20"/>
          <w:color w:val="auto"/>
        </w:rPr>
      </w:pPr>
    </w:p>
    <w:p>
      <w:pPr>
        <w:jc w:val="center"/>
        <w:ind w:right="-633"/>
        <w:spacing w:after="0" w:line="366" w:lineRule="exact"/>
        <w:rPr>
          <w:sz w:val="20"/>
          <w:szCs w:val="20"/>
          <w:color w:val="auto"/>
        </w:rPr>
      </w:pPr>
      <w:r>
        <w:rPr>
          <w:rFonts w:ascii="宋体" w:cs="宋体" w:eastAsia="宋体" w:hAnsi="宋体"/>
          <w:sz w:val="32"/>
          <w:szCs w:val="32"/>
          <w:color w:val="auto"/>
        </w:rPr>
        <w:t>（供参考）</w:t>
      </w:r>
    </w:p>
    <w:p>
      <w:pPr>
        <w:spacing w:after="0" w:line="307" w:lineRule="exact"/>
        <w:rPr>
          <w:sz w:val="20"/>
          <w:szCs w:val="20"/>
          <w:color w:val="auto"/>
        </w:rPr>
      </w:pPr>
    </w:p>
    <w:p>
      <w:pPr>
        <w:jc w:val="both"/>
        <w:ind w:left="360" w:right="366" w:firstLine="641"/>
        <w:spacing w:after="0" w:line="470" w:lineRule="exact"/>
        <w:rPr>
          <w:sz w:val="20"/>
          <w:szCs w:val="20"/>
          <w:color w:val="auto"/>
        </w:rPr>
      </w:pPr>
      <w:r>
        <w:rPr>
          <w:rFonts w:ascii="宋体" w:cs="宋体" w:eastAsia="宋体" w:hAnsi="宋体"/>
          <w:sz w:val="32"/>
          <w:szCs w:val="32"/>
          <w:color w:val="auto"/>
        </w:rPr>
        <w:t>一、委托人、被评估单位及资产评估委托合同约定的其他资产评估报告使用人概况</w:t>
      </w:r>
    </w:p>
    <w:p>
      <w:pPr>
        <w:spacing w:after="0" w:line="308" w:lineRule="exact"/>
        <w:rPr>
          <w:sz w:val="20"/>
          <w:szCs w:val="20"/>
          <w:color w:val="auto"/>
        </w:rPr>
      </w:pPr>
    </w:p>
    <w:p>
      <w:pPr>
        <w:jc w:val="both"/>
        <w:ind w:left="360" w:right="366" w:firstLine="641"/>
        <w:spacing w:after="0" w:line="522" w:lineRule="exact"/>
        <w:rPr>
          <w:sz w:val="20"/>
          <w:szCs w:val="20"/>
          <w:color w:val="auto"/>
        </w:rPr>
      </w:pPr>
      <w:r>
        <w:rPr>
          <w:rFonts w:ascii="宋体" w:cs="宋体" w:eastAsia="宋体" w:hAnsi="宋体"/>
          <w:sz w:val="32"/>
          <w:szCs w:val="32"/>
          <w:color w:val="auto"/>
        </w:rPr>
        <w:t>（一）委托人和资产评估委托合同约定的其他资产评估报告使用人概况一般包括企业名称及简称、住所、法定代表人、注册资本、股东构成及主要经营范围等。</w:t>
      </w:r>
    </w:p>
    <w:p>
      <w:pPr>
        <w:spacing w:after="0" w:line="308" w:lineRule="exact"/>
        <w:rPr>
          <w:sz w:val="20"/>
          <w:szCs w:val="20"/>
          <w:color w:val="auto"/>
        </w:rPr>
      </w:pPr>
    </w:p>
    <w:p>
      <w:pPr>
        <w:jc w:val="both"/>
        <w:ind w:left="360" w:right="366" w:firstLine="641"/>
        <w:spacing w:after="0" w:line="522" w:lineRule="exact"/>
        <w:rPr>
          <w:sz w:val="20"/>
          <w:szCs w:val="20"/>
          <w:color w:val="auto"/>
        </w:rPr>
      </w:pPr>
      <w:r>
        <w:rPr>
          <w:rFonts w:ascii="宋体" w:cs="宋体" w:eastAsia="宋体" w:hAnsi="宋体"/>
          <w:sz w:val="32"/>
          <w:szCs w:val="32"/>
          <w:color w:val="auto"/>
        </w:rPr>
        <w:t>委托人、资产评估委托合同约定的其他资产评估报告使用人与被评估单位为同一单位的，按照对被评估单位的要求编写。</w:t>
      </w:r>
    </w:p>
    <w:p>
      <w:pPr>
        <w:spacing w:after="0" w:line="259" w:lineRule="exact"/>
        <w:rPr>
          <w:sz w:val="20"/>
          <w:szCs w:val="20"/>
          <w:color w:val="auto"/>
        </w:rPr>
      </w:pPr>
    </w:p>
    <w:p>
      <w:pPr>
        <w:ind w:left="1000"/>
        <w:spacing w:after="0" w:line="366" w:lineRule="exact"/>
        <w:rPr>
          <w:sz w:val="20"/>
          <w:szCs w:val="20"/>
          <w:color w:val="auto"/>
        </w:rPr>
      </w:pPr>
      <w:r>
        <w:rPr>
          <w:rFonts w:ascii="宋体" w:cs="宋体" w:eastAsia="宋体" w:hAnsi="宋体"/>
          <w:sz w:val="32"/>
          <w:szCs w:val="32"/>
          <w:color w:val="auto"/>
        </w:rPr>
        <w:t>（二）被评估单位概况</w:t>
      </w:r>
    </w:p>
    <w:p>
      <w:pPr>
        <w:spacing w:after="0" w:line="237" w:lineRule="exact"/>
        <w:rPr>
          <w:sz w:val="20"/>
          <w:szCs w:val="20"/>
          <w:color w:val="auto"/>
        </w:rPr>
      </w:pPr>
    </w:p>
    <w:p>
      <w:pPr>
        <w:ind w:left="1000"/>
        <w:spacing w:after="0" w:line="388" w:lineRule="exact"/>
        <w:rPr>
          <w:sz w:val="20"/>
          <w:szCs w:val="20"/>
          <w:color w:val="auto"/>
        </w:rPr>
      </w:pPr>
      <w:r>
        <w:rPr>
          <w:rFonts w:ascii="Arial" w:cs="Arial" w:eastAsia="Arial" w:hAnsi="Arial"/>
          <w:sz w:val="32"/>
          <w:szCs w:val="32"/>
          <w:color w:val="auto"/>
        </w:rPr>
        <w:t>1</w:t>
      </w:r>
      <w:r>
        <w:rPr>
          <w:rFonts w:ascii="宋体" w:cs="宋体" w:eastAsia="宋体" w:hAnsi="宋体"/>
          <w:sz w:val="32"/>
          <w:szCs w:val="32"/>
          <w:color w:val="auto"/>
        </w:rPr>
        <w:t>．企业价值评估中，被评估单位概况一般包括：</w:t>
      </w:r>
    </w:p>
    <w:p>
      <w:pPr>
        <w:spacing w:after="0" w:line="248" w:lineRule="exact"/>
        <w:rPr>
          <w:sz w:val="20"/>
          <w:szCs w:val="20"/>
          <w:color w:val="auto"/>
        </w:rPr>
      </w:pPr>
    </w:p>
    <w:p>
      <w:pPr>
        <w:ind w:left="1000"/>
        <w:spacing w:after="0" w:line="376" w:lineRule="exact"/>
        <w:rPr>
          <w:sz w:val="20"/>
          <w:szCs w:val="20"/>
          <w:color w:val="auto"/>
        </w:rPr>
      </w:pPr>
      <w:r>
        <w:rPr>
          <w:rFonts w:ascii="宋体" w:cs="宋体" w:eastAsia="宋体" w:hAnsi="宋体"/>
          <w:sz w:val="31"/>
          <w:szCs w:val="31"/>
          <w:color w:val="auto"/>
        </w:rPr>
        <w:t>（</w:t>
      </w:r>
      <w:r>
        <w:rPr>
          <w:rFonts w:ascii="Arial" w:cs="Arial" w:eastAsia="Arial" w:hAnsi="Arial"/>
          <w:sz w:val="31"/>
          <w:szCs w:val="31"/>
          <w:color w:val="auto"/>
        </w:rPr>
        <w:t>1</w:t>
      </w:r>
      <w:r>
        <w:rPr>
          <w:rFonts w:ascii="宋体" w:cs="宋体" w:eastAsia="宋体" w:hAnsi="宋体"/>
          <w:sz w:val="31"/>
          <w:szCs w:val="31"/>
          <w:color w:val="auto"/>
        </w:rPr>
        <w:t>）企业名称及简称、住所、法定代表人、注册资本。</w:t>
      </w:r>
    </w:p>
    <w:p>
      <w:pPr>
        <w:spacing w:after="0" w:line="236" w:lineRule="exact"/>
        <w:rPr>
          <w:sz w:val="20"/>
          <w:szCs w:val="20"/>
          <w:color w:val="auto"/>
        </w:rPr>
      </w:pPr>
    </w:p>
    <w:p>
      <w:pPr>
        <w:ind w:left="1000"/>
        <w:spacing w:after="0" w:line="388" w:lineRule="exact"/>
        <w:rPr>
          <w:sz w:val="20"/>
          <w:szCs w:val="20"/>
          <w:color w:val="auto"/>
        </w:rPr>
      </w:pPr>
      <w:r>
        <w:rPr>
          <w:rFonts w:ascii="宋体" w:cs="宋体" w:eastAsia="宋体" w:hAnsi="宋体"/>
          <w:sz w:val="32"/>
          <w:szCs w:val="32"/>
          <w:color w:val="auto"/>
        </w:rPr>
        <w:t>（</w:t>
      </w:r>
      <w:r>
        <w:rPr>
          <w:rFonts w:ascii="Arial" w:cs="Arial" w:eastAsia="Arial" w:hAnsi="Arial"/>
          <w:sz w:val="32"/>
          <w:szCs w:val="32"/>
          <w:color w:val="auto"/>
        </w:rPr>
        <w:t>2</w:t>
      </w:r>
      <w:r>
        <w:rPr>
          <w:rFonts w:ascii="宋体" w:cs="宋体" w:eastAsia="宋体" w:hAnsi="宋体"/>
          <w:sz w:val="32"/>
          <w:szCs w:val="32"/>
          <w:color w:val="auto"/>
        </w:rPr>
        <w:t>）企业性质、取得金融业务许可证或者主管部门准</w:t>
      </w:r>
    </w:p>
    <w:p>
      <w:pPr>
        <w:spacing w:after="0" w:line="270" w:lineRule="exact"/>
        <w:rPr>
          <w:sz w:val="20"/>
          <w:szCs w:val="20"/>
          <w:color w:val="auto"/>
        </w:rPr>
      </w:pPr>
    </w:p>
    <w:p>
      <w:pPr>
        <w:ind w:left="360"/>
        <w:spacing w:after="0" w:line="354" w:lineRule="exact"/>
        <w:rPr>
          <w:sz w:val="20"/>
          <w:szCs w:val="20"/>
          <w:color w:val="auto"/>
        </w:rPr>
      </w:pPr>
      <w:r>
        <w:rPr>
          <w:rFonts w:ascii="宋体" w:cs="宋体" w:eastAsia="宋体" w:hAnsi="宋体"/>
          <w:sz w:val="31"/>
          <w:szCs w:val="31"/>
          <w:color w:val="auto"/>
        </w:rPr>
        <w:t>入批复文件、企业股东及持股比例、企业股权变更等历史沿</w:t>
      </w:r>
    </w:p>
    <w:p>
      <w:pPr>
        <w:spacing w:after="0" w:line="259"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革情况。</w:t>
      </w:r>
    </w:p>
    <w:p>
      <w:pPr>
        <w:spacing w:after="0" w:line="236" w:lineRule="exact"/>
        <w:rPr>
          <w:sz w:val="20"/>
          <w:szCs w:val="20"/>
          <w:color w:val="auto"/>
        </w:rPr>
      </w:pPr>
    </w:p>
    <w:p>
      <w:pPr>
        <w:ind w:left="1000"/>
        <w:spacing w:after="0" w:line="388" w:lineRule="exact"/>
        <w:rPr>
          <w:sz w:val="20"/>
          <w:szCs w:val="20"/>
          <w:color w:val="auto"/>
        </w:rPr>
      </w:pPr>
      <w:r>
        <w:rPr>
          <w:rFonts w:ascii="宋体" w:cs="宋体" w:eastAsia="宋体" w:hAnsi="宋体"/>
          <w:sz w:val="32"/>
          <w:szCs w:val="32"/>
          <w:color w:val="auto"/>
        </w:rPr>
        <w:t>（</w:t>
      </w:r>
      <w:r>
        <w:rPr>
          <w:rFonts w:ascii="Arial" w:cs="Arial" w:eastAsia="Arial" w:hAnsi="Arial"/>
          <w:sz w:val="32"/>
          <w:szCs w:val="32"/>
          <w:color w:val="auto"/>
        </w:rPr>
        <w:t>3</w:t>
      </w:r>
      <w:r>
        <w:rPr>
          <w:rFonts w:ascii="宋体" w:cs="宋体" w:eastAsia="宋体" w:hAnsi="宋体"/>
          <w:sz w:val="32"/>
          <w:szCs w:val="32"/>
          <w:color w:val="auto"/>
        </w:rPr>
        <w:t>）被评估单位主要股东介绍，一般包括主要股东的</w:t>
      </w:r>
    </w:p>
    <w:p>
      <w:pPr>
        <w:spacing w:after="0" w:line="271" w:lineRule="exact"/>
        <w:rPr>
          <w:sz w:val="20"/>
          <w:szCs w:val="20"/>
          <w:color w:val="auto"/>
        </w:rPr>
      </w:pPr>
    </w:p>
    <w:p>
      <w:pPr>
        <w:ind w:left="360"/>
        <w:spacing w:after="0" w:line="354" w:lineRule="exact"/>
        <w:rPr>
          <w:sz w:val="20"/>
          <w:szCs w:val="20"/>
          <w:color w:val="auto"/>
        </w:rPr>
      </w:pPr>
      <w:r>
        <w:rPr>
          <w:rFonts w:ascii="宋体" w:cs="宋体" w:eastAsia="宋体" w:hAnsi="宋体"/>
          <w:sz w:val="31"/>
          <w:szCs w:val="31"/>
          <w:color w:val="auto"/>
        </w:rPr>
        <w:t>名称、住所、法定代表人、主要经营范围、注册资本及经营</w:t>
      </w:r>
    </w:p>
    <w:p>
      <w:pPr>
        <w:spacing w:after="0" w:line="259"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业绩。</w:t>
      </w:r>
    </w:p>
    <w:p>
      <w:pPr>
        <w:spacing w:after="0" w:line="236" w:lineRule="exact"/>
        <w:rPr>
          <w:sz w:val="20"/>
          <w:szCs w:val="20"/>
          <w:color w:val="auto"/>
        </w:rPr>
      </w:pPr>
    </w:p>
    <w:p>
      <w:pPr>
        <w:ind w:left="1000"/>
        <w:spacing w:after="0" w:line="388" w:lineRule="exact"/>
        <w:rPr>
          <w:sz w:val="20"/>
          <w:szCs w:val="20"/>
          <w:color w:val="auto"/>
        </w:rPr>
      </w:pPr>
      <w:r>
        <w:rPr>
          <w:rFonts w:ascii="宋体" w:cs="宋体" w:eastAsia="宋体" w:hAnsi="宋体"/>
          <w:sz w:val="32"/>
          <w:szCs w:val="32"/>
          <w:color w:val="auto"/>
        </w:rPr>
        <w:t>（</w:t>
      </w:r>
      <w:r>
        <w:rPr>
          <w:rFonts w:ascii="Arial" w:cs="Arial" w:eastAsia="Arial" w:hAnsi="Arial"/>
          <w:sz w:val="32"/>
          <w:szCs w:val="32"/>
          <w:color w:val="auto"/>
        </w:rPr>
        <w:t>4</w:t>
      </w:r>
      <w:r>
        <w:rPr>
          <w:rFonts w:ascii="宋体" w:cs="宋体" w:eastAsia="宋体" w:hAnsi="宋体"/>
          <w:sz w:val="32"/>
          <w:szCs w:val="32"/>
          <w:color w:val="auto"/>
        </w:rPr>
        <w:t>）法定许可经营范围、实际主要经营范围、经营产</w:t>
      </w:r>
    </w:p>
    <w:p>
      <w:pPr>
        <w:spacing w:after="0" w:line="259"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品介绍。</w:t>
      </w:r>
    </w:p>
    <w:p>
      <w:pPr>
        <w:sectPr>
          <w:pgSz w:w="11900" w:h="16838" w:orient="portrait"/>
          <w:cols w:equalWidth="0" w:num="1">
            <w:col w:w="9026"/>
          </w:cols>
          <w:pgMar w:left="1440" w:top="1440" w:right="1440" w:bottom="947" w:gutter="0" w:footer="0" w:header="0"/>
        </w:sectPr>
      </w:pPr>
    </w:p>
    <w:bookmarkStart w:id="24" w:name="page25"/>
    <w:bookmarkEnd w:id="24"/>
    <w:p>
      <w:pPr>
        <w:spacing w:after="0" w:line="81" w:lineRule="exact"/>
        <w:rPr>
          <w:sz w:val="20"/>
          <w:szCs w:val="20"/>
          <w:color w:val="auto"/>
        </w:rPr>
      </w:pPr>
    </w:p>
    <w:p>
      <w:pPr>
        <w:ind w:left="1000"/>
        <w:spacing w:after="0" w:line="388" w:lineRule="exact"/>
        <w:rPr>
          <w:sz w:val="20"/>
          <w:szCs w:val="20"/>
          <w:color w:val="auto"/>
        </w:rPr>
      </w:pPr>
      <w:r>
        <w:rPr>
          <w:rFonts w:ascii="宋体" w:cs="宋体" w:eastAsia="宋体" w:hAnsi="宋体"/>
          <w:sz w:val="32"/>
          <w:szCs w:val="32"/>
          <w:color w:val="auto"/>
        </w:rPr>
        <w:t>（</w:t>
      </w:r>
      <w:r>
        <w:rPr>
          <w:rFonts w:ascii="Arial" w:cs="Arial" w:eastAsia="Arial" w:hAnsi="Arial"/>
          <w:sz w:val="32"/>
          <w:szCs w:val="32"/>
          <w:color w:val="auto"/>
        </w:rPr>
        <w:t>5</w:t>
      </w:r>
      <w:r>
        <w:rPr>
          <w:rFonts w:ascii="宋体" w:cs="宋体" w:eastAsia="宋体" w:hAnsi="宋体"/>
          <w:sz w:val="32"/>
          <w:szCs w:val="32"/>
          <w:color w:val="auto"/>
        </w:rPr>
        <w:t>）企业的财务核算体系介绍，近三年资产、财务、</w:t>
      </w:r>
    </w:p>
    <w:p>
      <w:pPr>
        <w:spacing w:after="0" w:line="259"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经营状况。</w:t>
      </w:r>
    </w:p>
    <w:p>
      <w:pPr>
        <w:spacing w:after="0" w:line="236" w:lineRule="exact"/>
        <w:rPr>
          <w:sz w:val="20"/>
          <w:szCs w:val="20"/>
          <w:color w:val="auto"/>
        </w:rPr>
      </w:pPr>
    </w:p>
    <w:p>
      <w:pPr>
        <w:ind w:left="1000"/>
        <w:spacing w:after="0" w:line="388" w:lineRule="exact"/>
        <w:rPr>
          <w:sz w:val="20"/>
          <w:szCs w:val="20"/>
          <w:color w:val="auto"/>
        </w:rPr>
      </w:pPr>
      <w:r>
        <w:rPr>
          <w:rFonts w:ascii="宋体" w:cs="宋体" w:eastAsia="宋体" w:hAnsi="宋体"/>
          <w:sz w:val="32"/>
          <w:szCs w:val="32"/>
          <w:color w:val="auto"/>
        </w:rPr>
        <w:t>（</w:t>
      </w:r>
      <w:r>
        <w:rPr>
          <w:rFonts w:ascii="Arial" w:cs="Arial" w:eastAsia="Arial" w:hAnsi="Arial"/>
          <w:sz w:val="32"/>
          <w:szCs w:val="32"/>
          <w:color w:val="auto"/>
        </w:rPr>
        <w:t>6</w:t>
      </w:r>
      <w:r>
        <w:rPr>
          <w:rFonts w:ascii="宋体" w:cs="宋体" w:eastAsia="宋体" w:hAnsi="宋体"/>
          <w:sz w:val="32"/>
          <w:szCs w:val="32"/>
          <w:color w:val="auto"/>
        </w:rPr>
        <w:t>）企业各子公司、分公司及主要部门的构成情况，</w:t>
      </w:r>
    </w:p>
    <w:p>
      <w:pPr>
        <w:spacing w:after="0" w:line="259"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并以适当的形式表明各级子公司的股权结构及股权比例。</w:t>
      </w:r>
    </w:p>
    <w:p>
      <w:pPr>
        <w:spacing w:after="0" w:line="236" w:lineRule="exact"/>
        <w:rPr>
          <w:sz w:val="20"/>
          <w:szCs w:val="20"/>
          <w:color w:val="auto"/>
        </w:rPr>
      </w:pPr>
    </w:p>
    <w:p>
      <w:pPr>
        <w:ind w:left="1000"/>
        <w:spacing w:after="0" w:line="388" w:lineRule="exact"/>
        <w:rPr>
          <w:sz w:val="20"/>
          <w:szCs w:val="20"/>
          <w:color w:val="auto"/>
        </w:rPr>
      </w:pPr>
      <w:r>
        <w:rPr>
          <w:rFonts w:ascii="宋体" w:cs="宋体" w:eastAsia="宋体" w:hAnsi="宋体"/>
          <w:sz w:val="32"/>
          <w:szCs w:val="32"/>
          <w:color w:val="auto"/>
        </w:rPr>
        <w:t>（</w:t>
      </w:r>
      <w:r>
        <w:rPr>
          <w:rFonts w:ascii="Arial" w:cs="Arial" w:eastAsia="Arial" w:hAnsi="Arial"/>
          <w:sz w:val="32"/>
          <w:szCs w:val="32"/>
          <w:color w:val="auto"/>
        </w:rPr>
        <w:t>7</w:t>
      </w:r>
      <w:r>
        <w:rPr>
          <w:rFonts w:ascii="宋体" w:cs="宋体" w:eastAsia="宋体" w:hAnsi="宋体"/>
          <w:sz w:val="32"/>
          <w:szCs w:val="32"/>
          <w:color w:val="auto"/>
        </w:rPr>
        <w:t>）企业经营特点及经营风险分析，如：</w:t>
      </w:r>
    </w:p>
    <w:p>
      <w:pPr>
        <w:spacing w:after="0" w:line="236" w:lineRule="exact"/>
        <w:rPr>
          <w:sz w:val="20"/>
          <w:szCs w:val="20"/>
          <w:color w:val="auto"/>
        </w:rPr>
      </w:pPr>
    </w:p>
    <w:p>
      <w:pPr>
        <w:ind w:left="1000"/>
        <w:spacing w:after="0" w:line="388" w:lineRule="exact"/>
        <w:rPr>
          <w:sz w:val="20"/>
          <w:szCs w:val="20"/>
          <w:color w:val="auto"/>
        </w:rPr>
      </w:pPr>
      <w:r>
        <w:rPr>
          <w:rFonts w:ascii="Arial" w:cs="Arial" w:eastAsia="Arial" w:hAnsi="Arial"/>
          <w:sz w:val="32"/>
          <w:szCs w:val="32"/>
          <w:color w:val="auto"/>
        </w:rPr>
        <w:t>1)</w:t>
      </w:r>
      <w:r>
        <w:rPr>
          <w:rFonts w:ascii="宋体" w:cs="宋体" w:eastAsia="宋体" w:hAnsi="宋体"/>
          <w:sz w:val="32"/>
          <w:szCs w:val="32"/>
          <w:color w:val="auto"/>
        </w:rPr>
        <w:t>银行信贷资产的种类、规模及质量等，营业网点及分</w:t>
      </w:r>
    </w:p>
    <w:p>
      <w:pPr>
        <w:spacing w:after="0" w:line="259"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布、市场地位等情况；</w:t>
      </w:r>
    </w:p>
    <w:p>
      <w:pPr>
        <w:spacing w:after="0" w:line="237" w:lineRule="exact"/>
        <w:rPr>
          <w:sz w:val="20"/>
          <w:szCs w:val="20"/>
          <w:color w:val="auto"/>
        </w:rPr>
      </w:pPr>
    </w:p>
    <w:p>
      <w:pPr>
        <w:ind w:left="1000"/>
        <w:spacing w:after="0" w:line="388" w:lineRule="exact"/>
        <w:rPr>
          <w:sz w:val="20"/>
          <w:szCs w:val="20"/>
          <w:color w:val="auto"/>
        </w:rPr>
      </w:pPr>
      <w:r>
        <w:rPr>
          <w:rFonts w:ascii="Arial" w:cs="Arial" w:eastAsia="Arial" w:hAnsi="Arial"/>
          <w:sz w:val="32"/>
          <w:szCs w:val="32"/>
          <w:color w:val="auto"/>
        </w:rPr>
        <w:t>2)</w:t>
      </w:r>
      <w:r>
        <w:rPr>
          <w:rFonts w:ascii="宋体" w:cs="宋体" w:eastAsia="宋体" w:hAnsi="宋体"/>
          <w:sz w:val="32"/>
          <w:szCs w:val="32"/>
          <w:color w:val="auto"/>
        </w:rPr>
        <w:t>保险公司的主要险种、保费收入、赔付情况、市场地</w:t>
      </w:r>
    </w:p>
    <w:p>
      <w:pPr>
        <w:spacing w:after="0" w:line="259"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位等；</w:t>
      </w:r>
    </w:p>
    <w:p>
      <w:pPr>
        <w:spacing w:after="0" w:line="236" w:lineRule="exact"/>
        <w:rPr>
          <w:sz w:val="20"/>
          <w:szCs w:val="20"/>
          <w:color w:val="auto"/>
        </w:rPr>
      </w:pPr>
    </w:p>
    <w:p>
      <w:pPr>
        <w:ind w:left="1000"/>
        <w:spacing w:after="0" w:line="388" w:lineRule="exact"/>
        <w:rPr>
          <w:sz w:val="20"/>
          <w:szCs w:val="20"/>
          <w:color w:val="auto"/>
        </w:rPr>
      </w:pPr>
      <w:r>
        <w:rPr>
          <w:rFonts w:ascii="Arial" w:cs="Arial" w:eastAsia="Arial" w:hAnsi="Arial"/>
          <w:sz w:val="32"/>
          <w:szCs w:val="32"/>
          <w:color w:val="auto"/>
        </w:rPr>
        <w:t>3)</w:t>
      </w:r>
      <w:r>
        <w:rPr>
          <w:rFonts w:ascii="宋体" w:cs="宋体" w:eastAsia="宋体" w:hAnsi="宋体"/>
          <w:sz w:val="32"/>
          <w:szCs w:val="32"/>
          <w:color w:val="auto"/>
        </w:rPr>
        <w:t>证券公司的经纪业务、自营业务、承销业务的规模和</w:t>
      </w:r>
    </w:p>
    <w:p>
      <w:pPr>
        <w:spacing w:after="0" w:line="259"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收入比重，营业网点数量及分布情况，市场地位等。</w:t>
      </w:r>
    </w:p>
    <w:p>
      <w:pPr>
        <w:spacing w:after="0" w:line="236" w:lineRule="exact"/>
        <w:rPr>
          <w:sz w:val="20"/>
          <w:szCs w:val="20"/>
          <w:color w:val="auto"/>
        </w:rPr>
      </w:pPr>
    </w:p>
    <w:p>
      <w:pPr>
        <w:ind w:left="1000"/>
        <w:spacing w:after="0" w:line="388" w:lineRule="exact"/>
        <w:rPr>
          <w:sz w:val="20"/>
          <w:szCs w:val="20"/>
          <w:color w:val="auto"/>
        </w:rPr>
      </w:pPr>
      <w:r>
        <w:rPr>
          <w:rFonts w:ascii="宋体" w:cs="宋体" w:eastAsia="宋体" w:hAnsi="宋体"/>
          <w:sz w:val="32"/>
          <w:szCs w:val="32"/>
          <w:color w:val="auto"/>
        </w:rPr>
        <w:t>（</w:t>
      </w:r>
      <w:r>
        <w:rPr>
          <w:rFonts w:ascii="Arial" w:cs="Arial" w:eastAsia="Arial" w:hAnsi="Arial"/>
          <w:sz w:val="32"/>
          <w:szCs w:val="32"/>
          <w:color w:val="auto"/>
        </w:rPr>
        <w:t>8</w:t>
      </w:r>
      <w:r>
        <w:rPr>
          <w:rFonts w:ascii="宋体" w:cs="宋体" w:eastAsia="宋体" w:hAnsi="宋体"/>
          <w:sz w:val="32"/>
          <w:szCs w:val="32"/>
          <w:color w:val="auto"/>
        </w:rPr>
        <w:t>）企业客户稳定性和流动性分析。</w:t>
      </w:r>
    </w:p>
    <w:p>
      <w:pPr>
        <w:spacing w:after="0" w:line="236" w:lineRule="exact"/>
        <w:rPr>
          <w:sz w:val="20"/>
          <w:szCs w:val="20"/>
          <w:color w:val="auto"/>
        </w:rPr>
      </w:pPr>
    </w:p>
    <w:p>
      <w:pPr>
        <w:ind w:left="1000"/>
        <w:spacing w:after="0" w:line="388" w:lineRule="exact"/>
        <w:rPr>
          <w:sz w:val="20"/>
          <w:szCs w:val="20"/>
          <w:color w:val="auto"/>
        </w:rPr>
      </w:pPr>
      <w:r>
        <w:rPr>
          <w:rFonts w:ascii="宋体" w:cs="宋体" w:eastAsia="宋体" w:hAnsi="宋体"/>
          <w:sz w:val="32"/>
          <w:szCs w:val="32"/>
          <w:color w:val="auto"/>
        </w:rPr>
        <w:t>（</w:t>
      </w:r>
      <w:r>
        <w:rPr>
          <w:rFonts w:ascii="Arial" w:cs="Arial" w:eastAsia="Arial" w:hAnsi="Arial"/>
          <w:sz w:val="32"/>
          <w:szCs w:val="32"/>
          <w:color w:val="auto"/>
        </w:rPr>
        <w:t>9</w:t>
      </w:r>
      <w:r>
        <w:rPr>
          <w:rFonts w:ascii="宋体" w:cs="宋体" w:eastAsia="宋体" w:hAnsi="宋体"/>
          <w:sz w:val="32"/>
          <w:szCs w:val="32"/>
          <w:color w:val="auto"/>
        </w:rPr>
        <w:t>）企业投资策略分析。</w:t>
      </w:r>
    </w:p>
    <w:p>
      <w:pPr>
        <w:spacing w:after="0" w:line="237" w:lineRule="exact"/>
        <w:rPr>
          <w:sz w:val="20"/>
          <w:szCs w:val="20"/>
          <w:color w:val="auto"/>
        </w:rPr>
      </w:pPr>
    </w:p>
    <w:p>
      <w:pPr>
        <w:ind w:left="1000"/>
        <w:spacing w:after="0" w:line="388" w:lineRule="exact"/>
        <w:rPr>
          <w:sz w:val="20"/>
          <w:szCs w:val="20"/>
          <w:color w:val="auto"/>
        </w:rPr>
      </w:pPr>
      <w:r>
        <w:rPr>
          <w:rFonts w:ascii="宋体" w:cs="宋体" w:eastAsia="宋体" w:hAnsi="宋体"/>
          <w:sz w:val="32"/>
          <w:szCs w:val="32"/>
          <w:color w:val="auto"/>
        </w:rPr>
        <w:t>（</w:t>
      </w:r>
      <w:r>
        <w:rPr>
          <w:rFonts w:ascii="Arial" w:cs="Arial" w:eastAsia="Arial" w:hAnsi="Arial"/>
          <w:sz w:val="32"/>
          <w:szCs w:val="32"/>
          <w:color w:val="auto"/>
        </w:rPr>
        <w:t>10</w:t>
      </w:r>
      <w:r>
        <w:rPr>
          <w:rFonts w:ascii="宋体" w:cs="宋体" w:eastAsia="宋体" w:hAnsi="宋体"/>
          <w:sz w:val="32"/>
          <w:szCs w:val="32"/>
          <w:color w:val="auto"/>
        </w:rPr>
        <w:t>）企业发展历程及未来发展规划。</w:t>
      </w:r>
    </w:p>
    <w:p>
      <w:pPr>
        <w:spacing w:after="0" w:line="236" w:lineRule="exact"/>
        <w:rPr>
          <w:sz w:val="20"/>
          <w:szCs w:val="20"/>
          <w:color w:val="auto"/>
        </w:rPr>
      </w:pPr>
    </w:p>
    <w:p>
      <w:pPr>
        <w:ind w:left="1000"/>
        <w:spacing w:after="0" w:line="388" w:lineRule="exact"/>
        <w:rPr>
          <w:sz w:val="20"/>
          <w:szCs w:val="20"/>
          <w:color w:val="auto"/>
        </w:rPr>
      </w:pPr>
      <w:r>
        <w:rPr>
          <w:rFonts w:ascii="宋体" w:cs="宋体" w:eastAsia="宋体" w:hAnsi="宋体"/>
          <w:sz w:val="32"/>
          <w:szCs w:val="32"/>
          <w:color w:val="auto"/>
        </w:rPr>
        <w:t>（</w:t>
      </w:r>
      <w:r>
        <w:rPr>
          <w:rFonts w:ascii="Arial" w:cs="Arial" w:eastAsia="Arial" w:hAnsi="Arial"/>
          <w:sz w:val="32"/>
          <w:szCs w:val="32"/>
          <w:color w:val="auto"/>
        </w:rPr>
        <w:t>11</w:t>
      </w:r>
      <w:r>
        <w:rPr>
          <w:rFonts w:ascii="宋体" w:cs="宋体" w:eastAsia="宋体" w:hAnsi="宋体"/>
          <w:sz w:val="32"/>
          <w:szCs w:val="32"/>
          <w:color w:val="auto"/>
        </w:rPr>
        <w:t>）企业执行国家相关部门制定的行业监管指标的情</w:t>
      </w:r>
    </w:p>
    <w:p>
      <w:pPr>
        <w:spacing w:after="0" w:line="259"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况。</w:t>
      </w:r>
    </w:p>
    <w:p>
      <w:pPr>
        <w:spacing w:after="0" w:line="307" w:lineRule="exact"/>
        <w:rPr>
          <w:sz w:val="20"/>
          <w:szCs w:val="20"/>
          <w:color w:val="auto"/>
        </w:rPr>
      </w:pPr>
    </w:p>
    <w:p>
      <w:pPr>
        <w:ind w:left="360" w:right="206" w:firstLine="641"/>
        <w:spacing w:after="0" w:line="471" w:lineRule="exact"/>
        <w:rPr>
          <w:sz w:val="20"/>
          <w:szCs w:val="20"/>
          <w:color w:val="auto"/>
        </w:rPr>
      </w:pPr>
      <w:r>
        <w:rPr>
          <w:rFonts w:ascii="宋体" w:cs="宋体" w:eastAsia="宋体" w:hAnsi="宋体"/>
          <w:sz w:val="32"/>
          <w:szCs w:val="32"/>
          <w:color w:val="auto"/>
        </w:rPr>
        <w:t>（</w:t>
      </w:r>
      <w:r>
        <w:rPr>
          <w:rFonts w:ascii="Arial" w:cs="Arial" w:eastAsia="Arial" w:hAnsi="Arial"/>
          <w:sz w:val="32"/>
          <w:szCs w:val="32"/>
          <w:color w:val="auto"/>
        </w:rPr>
        <w:t>12</w:t>
      </w:r>
      <w:r>
        <w:rPr>
          <w:rFonts w:ascii="宋体" w:cs="宋体" w:eastAsia="宋体" w:hAnsi="宋体"/>
          <w:sz w:val="32"/>
          <w:szCs w:val="32"/>
          <w:color w:val="auto"/>
        </w:rPr>
        <w:t>）执行的主要会计政策，经营是否存在国家政策、法规的限制或者优惠，经营的优劣势分析。</w:t>
      </w:r>
    </w:p>
    <w:p>
      <w:pPr>
        <w:spacing w:after="0" w:line="236" w:lineRule="exact"/>
        <w:rPr>
          <w:sz w:val="20"/>
          <w:szCs w:val="20"/>
          <w:color w:val="auto"/>
        </w:rPr>
      </w:pPr>
    </w:p>
    <w:p>
      <w:pPr>
        <w:ind w:left="1000"/>
        <w:spacing w:after="0" w:line="388" w:lineRule="exact"/>
        <w:rPr>
          <w:sz w:val="20"/>
          <w:szCs w:val="20"/>
          <w:color w:val="auto"/>
        </w:rPr>
      </w:pPr>
      <w:r>
        <w:rPr>
          <w:rFonts w:ascii="Arial" w:cs="Arial" w:eastAsia="Arial" w:hAnsi="Arial"/>
          <w:sz w:val="32"/>
          <w:szCs w:val="32"/>
          <w:color w:val="auto"/>
        </w:rPr>
        <w:t>2</w:t>
      </w:r>
      <w:r>
        <w:rPr>
          <w:rFonts w:ascii="宋体" w:cs="宋体" w:eastAsia="宋体" w:hAnsi="宋体"/>
          <w:sz w:val="32"/>
          <w:szCs w:val="32"/>
          <w:color w:val="auto"/>
        </w:rPr>
        <w:t>．单项资产或者资产组合评估，被评估单位概况一般</w:t>
      </w:r>
    </w:p>
    <w:p>
      <w:pPr>
        <w:spacing w:after="0" w:line="260"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包括企业名称及简称、住所、法定代表人、注册资本、股东</w:t>
      </w:r>
    </w:p>
    <w:p>
      <w:pPr>
        <w:spacing w:after="0" w:line="259"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构成及主要经营范围等。</w:t>
      </w:r>
    </w:p>
    <w:p>
      <w:pPr>
        <w:spacing w:after="0" w:line="259" w:lineRule="exact"/>
        <w:rPr>
          <w:sz w:val="20"/>
          <w:szCs w:val="20"/>
          <w:color w:val="auto"/>
        </w:rPr>
      </w:pPr>
    </w:p>
    <w:p>
      <w:pPr>
        <w:ind w:left="1000"/>
        <w:spacing w:after="0" w:line="366" w:lineRule="exact"/>
        <w:rPr>
          <w:sz w:val="20"/>
          <w:szCs w:val="20"/>
          <w:color w:val="auto"/>
        </w:rPr>
      </w:pPr>
      <w:r>
        <w:rPr>
          <w:rFonts w:ascii="宋体" w:cs="宋体" w:eastAsia="宋体" w:hAnsi="宋体"/>
          <w:sz w:val="32"/>
          <w:szCs w:val="32"/>
          <w:color w:val="auto"/>
        </w:rPr>
        <w:t>（三）委托人和被评估单位及资产评估委托合同约定的</w:t>
      </w:r>
    </w:p>
    <w:p>
      <w:pPr>
        <w:sectPr>
          <w:pgSz w:w="11900" w:h="16838" w:orient="portrait"/>
          <w:cols w:equalWidth="0" w:num="1">
            <w:col w:w="9026"/>
          </w:cols>
          <w:pgMar w:left="1440" w:top="1440" w:right="1440" w:bottom="1440" w:gutter="0" w:footer="0" w:header="0"/>
        </w:sectPr>
      </w:pPr>
    </w:p>
    <w:bookmarkStart w:id="25" w:name="page26"/>
    <w:bookmarkEnd w:id="25"/>
    <w:p>
      <w:pPr>
        <w:spacing w:after="0" w:line="152" w:lineRule="exact"/>
        <w:rPr>
          <w:sz w:val="20"/>
          <w:szCs w:val="20"/>
          <w:color w:val="auto"/>
        </w:rPr>
      </w:pPr>
    </w:p>
    <w:p>
      <w:pPr>
        <w:jc w:val="both"/>
        <w:ind w:left="360" w:right="366"/>
        <w:spacing w:after="0" w:line="522" w:lineRule="exact"/>
        <w:rPr>
          <w:sz w:val="20"/>
          <w:szCs w:val="20"/>
          <w:color w:val="auto"/>
        </w:rPr>
      </w:pPr>
      <w:r>
        <w:rPr>
          <w:rFonts w:ascii="宋体" w:cs="宋体" w:eastAsia="宋体" w:hAnsi="宋体"/>
          <w:sz w:val="32"/>
          <w:szCs w:val="32"/>
          <w:color w:val="auto"/>
        </w:rPr>
        <w:t>其他资产评估报告使用人之间的关系，如产权关系、交易关系等。若存在关联交易，应当说明关联方、交易方式等基本情况。</w:t>
      </w:r>
    </w:p>
    <w:p>
      <w:pPr>
        <w:spacing w:after="0" w:line="260" w:lineRule="exact"/>
        <w:rPr>
          <w:sz w:val="20"/>
          <w:szCs w:val="20"/>
          <w:color w:val="auto"/>
        </w:rPr>
      </w:pPr>
    </w:p>
    <w:p>
      <w:pPr>
        <w:ind w:left="1000"/>
        <w:spacing w:after="0" w:line="366" w:lineRule="exact"/>
        <w:rPr>
          <w:sz w:val="20"/>
          <w:szCs w:val="20"/>
          <w:color w:val="auto"/>
        </w:rPr>
      </w:pPr>
      <w:r>
        <w:rPr>
          <w:rFonts w:ascii="宋体" w:cs="宋体" w:eastAsia="宋体" w:hAnsi="宋体"/>
          <w:sz w:val="32"/>
          <w:szCs w:val="32"/>
          <w:color w:val="auto"/>
        </w:rPr>
        <w:t>二、关于经济行为的说明</w:t>
      </w:r>
    </w:p>
    <w:p>
      <w:pPr>
        <w:spacing w:after="0" w:line="307" w:lineRule="exact"/>
        <w:rPr>
          <w:sz w:val="20"/>
          <w:szCs w:val="20"/>
          <w:color w:val="auto"/>
        </w:rPr>
      </w:pPr>
    </w:p>
    <w:p>
      <w:pPr>
        <w:jc w:val="both"/>
        <w:ind w:left="360" w:right="366" w:firstLine="641"/>
        <w:spacing w:after="0" w:line="522" w:lineRule="exact"/>
        <w:rPr>
          <w:sz w:val="20"/>
          <w:szCs w:val="20"/>
          <w:color w:val="auto"/>
        </w:rPr>
      </w:pPr>
      <w:r>
        <w:rPr>
          <w:rFonts w:ascii="宋体" w:cs="宋体" w:eastAsia="宋体" w:hAnsi="宋体"/>
          <w:sz w:val="32"/>
          <w:szCs w:val="32"/>
          <w:color w:val="auto"/>
        </w:rPr>
        <w:t>（一）说明本次资产评估满足何种需要、所对应的经济行为类型及其经济行为获得批准的相关情况，或者其他经济行为依据。</w:t>
      </w:r>
    </w:p>
    <w:p>
      <w:pPr>
        <w:spacing w:after="0" w:line="308" w:lineRule="exact"/>
        <w:rPr>
          <w:sz w:val="20"/>
          <w:szCs w:val="20"/>
          <w:color w:val="auto"/>
        </w:rPr>
      </w:pPr>
    </w:p>
    <w:p>
      <w:pPr>
        <w:jc w:val="both"/>
        <w:ind w:left="360" w:right="366" w:firstLine="641"/>
        <w:spacing w:after="0" w:line="470" w:lineRule="exact"/>
        <w:rPr>
          <w:sz w:val="20"/>
          <w:szCs w:val="20"/>
          <w:color w:val="auto"/>
        </w:rPr>
      </w:pPr>
      <w:r>
        <w:rPr>
          <w:rFonts w:ascii="宋体" w:cs="宋体" w:eastAsia="宋体" w:hAnsi="宋体"/>
          <w:sz w:val="32"/>
          <w:szCs w:val="32"/>
          <w:color w:val="auto"/>
        </w:rPr>
        <w:t>（二）获得有关部门批准的，应当载明批件名称、批准日期及文号。</w:t>
      </w:r>
    </w:p>
    <w:p>
      <w:pPr>
        <w:spacing w:after="0" w:line="260" w:lineRule="exact"/>
        <w:rPr>
          <w:sz w:val="20"/>
          <w:szCs w:val="20"/>
          <w:color w:val="auto"/>
        </w:rPr>
      </w:pPr>
    </w:p>
    <w:p>
      <w:pPr>
        <w:ind w:left="1000"/>
        <w:spacing w:after="0" w:line="366" w:lineRule="exact"/>
        <w:rPr>
          <w:sz w:val="20"/>
          <w:szCs w:val="20"/>
          <w:color w:val="auto"/>
        </w:rPr>
      </w:pPr>
      <w:r>
        <w:rPr>
          <w:rFonts w:ascii="宋体" w:cs="宋体" w:eastAsia="宋体" w:hAnsi="宋体"/>
          <w:sz w:val="32"/>
          <w:szCs w:val="32"/>
          <w:color w:val="auto"/>
        </w:rPr>
        <w:t>三、关于评估对象与评估范围的说明</w:t>
      </w:r>
    </w:p>
    <w:p>
      <w:pPr>
        <w:spacing w:after="0" w:line="259" w:lineRule="exact"/>
        <w:rPr>
          <w:sz w:val="20"/>
          <w:szCs w:val="20"/>
          <w:color w:val="auto"/>
        </w:rPr>
      </w:pPr>
    </w:p>
    <w:p>
      <w:pPr>
        <w:ind w:left="1000"/>
        <w:spacing w:after="0" w:line="366" w:lineRule="exact"/>
        <w:rPr>
          <w:sz w:val="20"/>
          <w:szCs w:val="20"/>
          <w:color w:val="auto"/>
        </w:rPr>
      </w:pPr>
      <w:r>
        <w:rPr>
          <w:rFonts w:ascii="宋体" w:cs="宋体" w:eastAsia="宋体" w:hAnsi="宋体"/>
          <w:sz w:val="32"/>
          <w:szCs w:val="32"/>
          <w:color w:val="auto"/>
        </w:rPr>
        <w:t>企业价值评估中，通常需要说明下列内容：</w:t>
      </w:r>
    </w:p>
    <w:p>
      <w:pPr>
        <w:spacing w:after="0" w:line="307" w:lineRule="exact"/>
        <w:rPr>
          <w:sz w:val="20"/>
          <w:szCs w:val="20"/>
          <w:color w:val="auto"/>
        </w:rPr>
      </w:pPr>
    </w:p>
    <w:p>
      <w:pPr>
        <w:jc w:val="both"/>
        <w:ind w:left="360" w:right="366" w:firstLine="641"/>
        <w:spacing w:after="0" w:line="522" w:lineRule="exact"/>
        <w:rPr>
          <w:sz w:val="20"/>
          <w:szCs w:val="20"/>
          <w:color w:val="auto"/>
        </w:rPr>
      </w:pPr>
      <w:r>
        <w:rPr>
          <w:rFonts w:ascii="宋体" w:cs="宋体" w:eastAsia="宋体" w:hAnsi="宋体"/>
          <w:sz w:val="32"/>
          <w:szCs w:val="32"/>
          <w:color w:val="auto"/>
        </w:rPr>
        <w:t>（一）委托评估对象和评估范围与经济行为涉及的评估对象和评估范围是否一致，不一致的应当说明原因，并说明是否经过审计、审计意见类型及审计期间。</w:t>
      </w:r>
    </w:p>
    <w:p>
      <w:pPr>
        <w:spacing w:after="0" w:line="260" w:lineRule="exact"/>
        <w:rPr>
          <w:sz w:val="20"/>
          <w:szCs w:val="20"/>
          <w:color w:val="auto"/>
        </w:rPr>
      </w:pPr>
    </w:p>
    <w:p>
      <w:pPr>
        <w:ind w:left="1000"/>
        <w:spacing w:after="0" w:line="366" w:lineRule="exact"/>
        <w:rPr>
          <w:sz w:val="20"/>
          <w:szCs w:val="20"/>
          <w:color w:val="auto"/>
        </w:rPr>
      </w:pPr>
      <w:r>
        <w:rPr>
          <w:rFonts w:ascii="宋体" w:cs="宋体" w:eastAsia="宋体" w:hAnsi="宋体"/>
          <w:sz w:val="32"/>
          <w:szCs w:val="32"/>
          <w:color w:val="auto"/>
        </w:rPr>
        <w:t>（二）企业表外业务的类型、数量。</w:t>
      </w:r>
    </w:p>
    <w:p>
      <w:pPr>
        <w:spacing w:after="0" w:line="307" w:lineRule="exact"/>
        <w:rPr>
          <w:sz w:val="20"/>
          <w:szCs w:val="20"/>
          <w:color w:val="auto"/>
        </w:rPr>
      </w:pPr>
    </w:p>
    <w:p>
      <w:pPr>
        <w:jc w:val="both"/>
        <w:ind w:left="360" w:right="366" w:firstLine="641"/>
        <w:spacing w:after="0" w:line="470" w:lineRule="exact"/>
        <w:rPr>
          <w:sz w:val="20"/>
          <w:szCs w:val="20"/>
          <w:color w:val="auto"/>
        </w:rPr>
      </w:pPr>
      <w:r>
        <w:rPr>
          <w:rFonts w:ascii="宋体" w:cs="宋体" w:eastAsia="宋体" w:hAnsi="宋体"/>
          <w:sz w:val="32"/>
          <w:szCs w:val="32"/>
          <w:color w:val="auto"/>
        </w:rPr>
        <w:t>（三）企业的主要客户资源、营销网络及业务合同等无形资产。</w:t>
      </w:r>
    </w:p>
    <w:p>
      <w:pPr>
        <w:spacing w:after="0" w:line="260" w:lineRule="exact"/>
        <w:rPr>
          <w:sz w:val="20"/>
          <w:szCs w:val="20"/>
          <w:color w:val="auto"/>
        </w:rPr>
      </w:pPr>
    </w:p>
    <w:p>
      <w:pPr>
        <w:ind w:left="1000"/>
        <w:spacing w:after="0" w:line="366" w:lineRule="exact"/>
        <w:rPr>
          <w:sz w:val="20"/>
          <w:szCs w:val="20"/>
          <w:color w:val="auto"/>
        </w:rPr>
      </w:pPr>
      <w:r>
        <w:rPr>
          <w:rFonts w:ascii="宋体" w:cs="宋体" w:eastAsia="宋体" w:hAnsi="宋体"/>
          <w:sz w:val="32"/>
          <w:szCs w:val="32"/>
          <w:color w:val="auto"/>
        </w:rPr>
        <w:t>（四）本次评估前是否进行了财务重组。</w:t>
      </w:r>
    </w:p>
    <w:p>
      <w:pPr>
        <w:spacing w:after="0" w:line="259" w:lineRule="exact"/>
        <w:rPr>
          <w:sz w:val="20"/>
          <w:szCs w:val="20"/>
          <w:color w:val="auto"/>
        </w:rPr>
      </w:pPr>
    </w:p>
    <w:p>
      <w:pPr>
        <w:ind w:left="1000"/>
        <w:spacing w:after="0" w:line="366" w:lineRule="exact"/>
        <w:rPr>
          <w:sz w:val="20"/>
          <w:szCs w:val="20"/>
          <w:color w:val="auto"/>
        </w:rPr>
      </w:pPr>
      <w:r>
        <w:rPr>
          <w:rFonts w:ascii="宋体" w:cs="宋体" w:eastAsia="宋体" w:hAnsi="宋体"/>
          <w:sz w:val="32"/>
          <w:szCs w:val="32"/>
          <w:color w:val="auto"/>
        </w:rPr>
        <w:t>（五）账面资产是否根据以往评估结论进行了调账。</w:t>
      </w:r>
    </w:p>
    <w:p>
      <w:pPr>
        <w:spacing w:after="0" w:line="307" w:lineRule="exact"/>
        <w:rPr>
          <w:sz w:val="20"/>
          <w:szCs w:val="20"/>
          <w:color w:val="auto"/>
        </w:rPr>
      </w:pPr>
    </w:p>
    <w:p>
      <w:pPr>
        <w:ind w:left="360" w:right="206" w:firstLine="641"/>
        <w:spacing w:after="0" w:line="470" w:lineRule="exact"/>
        <w:rPr>
          <w:sz w:val="20"/>
          <w:szCs w:val="20"/>
          <w:color w:val="auto"/>
        </w:rPr>
      </w:pPr>
      <w:r>
        <w:rPr>
          <w:rFonts w:ascii="宋体" w:cs="宋体" w:eastAsia="宋体" w:hAnsi="宋体"/>
          <w:sz w:val="32"/>
          <w:szCs w:val="32"/>
          <w:color w:val="auto"/>
        </w:rPr>
        <w:t>（六）委托其他机构进行评估所涉及的资产类型、数量、账面金额及另行委托的原因。</w:t>
      </w:r>
    </w:p>
    <w:p>
      <w:pPr>
        <w:spacing w:after="0" w:line="260" w:lineRule="exact"/>
        <w:rPr>
          <w:sz w:val="20"/>
          <w:szCs w:val="20"/>
          <w:color w:val="auto"/>
        </w:rPr>
      </w:pPr>
    </w:p>
    <w:p>
      <w:pPr>
        <w:ind w:left="1000"/>
        <w:spacing w:after="0" w:line="366" w:lineRule="exact"/>
        <w:rPr>
          <w:sz w:val="20"/>
          <w:szCs w:val="20"/>
          <w:color w:val="auto"/>
        </w:rPr>
      </w:pPr>
      <w:r>
        <w:rPr>
          <w:rFonts w:ascii="宋体" w:cs="宋体" w:eastAsia="宋体" w:hAnsi="宋体"/>
          <w:sz w:val="32"/>
          <w:szCs w:val="32"/>
          <w:color w:val="auto"/>
        </w:rPr>
        <w:t>单项资产或者资产组合评估，通常需要说明委托评估资</w:t>
      </w:r>
    </w:p>
    <w:p>
      <w:pPr>
        <w:sectPr>
          <w:pgSz w:w="11900" w:h="16838" w:orient="portrait"/>
          <w:cols w:equalWidth="0" w:num="1">
            <w:col w:w="9026"/>
          </w:cols>
          <w:pgMar w:left="1440" w:top="1440" w:right="1440" w:bottom="1440" w:gutter="0" w:footer="0" w:header="0"/>
        </w:sectPr>
      </w:pPr>
    </w:p>
    <w:bookmarkStart w:id="26" w:name="page27"/>
    <w:bookmarkEnd w:id="26"/>
    <w:p>
      <w:pPr>
        <w:spacing w:after="0" w:line="104"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产的数量、法律权属状况、经济状况等。</w:t>
      </w:r>
    </w:p>
    <w:p>
      <w:pPr>
        <w:spacing w:after="0" w:line="259" w:lineRule="exact"/>
        <w:rPr>
          <w:sz w:val="20"/>
          <w:szCs w:val="20"/>
          <w:color w:val="auto"/>
        </w:rPr>
      </w:pPr>
    </w:p>
    <w:p>
      <w:pPr>
        <w:ind w:left="1000"/>
        <w:spacing w:after="0" w:line="366" w:lineRule="exact"/>
        <w:rPr>
          <w:sz w:val="20"/>
          <w:szCs w:val="20"/>
          <w:color w:val="auto"/>
        </w:rPr>
      </w:pPr>
      <w:r>
        <w:rPr>
          <w:rFonts w:ascii="宋体" w:cs="宋体" w:eastAsia="宋体" w:hAnsi="宋体"/>
          <w:sz w:val="32"/>
          <w:szCs w:val="32"/>
          <w:color w:val="auto"/>
        </w:rPr>
        <w:t>四、关于评估基准日的说明</w:t>
      </w:r>
    </w:p>
    <w:p>
      <w:pPr>
        <w:spacing w:after="0" w:line="259" w:lineRule="exact"/>
        <w:rPr>
          <w:sz w:val="20"/>
          <w:szCs w:val="20"/>
          <w:color w:val="auto"/>
        </w:rPr>
      </w:pPr>
    </w:p>
    <w:p>
      <w:pPr>
        <w:ind w:left="1000"/>
        <w:spacing w:after="0" w:line="366" w:lineRule="exact"/>
        <w:rPr>
          <w:sz w:val="20"/>
          <w:szCs w:val="20"/>
          <w:color w:val="auto"/>
        </w:rPr>
      </w:pPr>
      <w:r>
        <w:rPr>
          <w:rFonts w:ascii="宋体" w:cs="宋体" w:eastAsia="宋体" w:hAnsi="宋体"/>
          <w:sz w:val="32"/>
          <w:szCs w:val="32"/>
          <w:color w:val="auto"/>
        </w:rPr>
        <w:t>（一）说明所确定的评估基准日，评估基准日表述为：</w:t>
      </w:r>
    </w:p>
    <w:p>
      <w:pPr>
        <w:spacing w:after="0" w:line="236" w:lineRule="exact"/>
        <w:rPr>
          <w:sz w:val="20"/>
          <w:szCs w:val="20"/>
          <w:color w:val="auto"/>
        </w:rPr>
      </w:pPr>
    </w:p>
    <w:p>
      <w:pPr>
        <w:ind w:left="360"/>
        <w:spacing w:after="0" w:line="388" w:lineRule="exact"/>
        <w:rPr>
          <w:sz w:val="20"/>
          <w:szCs w:val="20"/>
          <w:color w:val="auto"/>
        </w:rPr>
      </w:pPr>
      <w:r>
        <w:rPr>
          <w:rFonts w:ascii="Arial" w:cs="Arial" w:eastAsia="Arial" w:hAnsi="Arial"/>
          <w:sz w:val="32"/>
          <w:szCs w:val="32"/>
          <w:color w:val="auto"/>
        </w:rPr>
        <w:t>××××</w:t>
      </w:r>
      <w:r>
        <w:rPr>
          <w:rFonts w:ascii="宋体" w:cs="宋体" w:eastAsia="宋体" w:hAnsi="宋体"/>
          <w:sz w:val="32"/>
          <w:szCs w:val="32"/>
          <w:color w:val="auto"/>
        </w:rPr>
        <w:t>年</w:t>
      </w:r>
      <w:r>
        <w:rPr>
          <w:rFonts w:ascii="Arial" w:cs="Arial" w:eastAsia="Arial" w:hAnsi="Arial"/>
          <w:sz w:val="32"/>
          <w:szCs w:val="32"/>
          <w:color w:val="auto"/>
        </w:rPr>
        <w:t>××</w:t>
      </w:r>
      <w:r>
        <w:rPr>
          <w:rFonts w:ascii="宋体" w:cs="宋体" w:eastAsia="宋体" w:hAnsi="宋体"/>
          <w:sz w:val="32"/>
          <w:szCs w:val="32"/>
          <w:color w:val="auto"/>
        </w:rPr>
        <w:t>月</w:t>
      </w:r>
      <w:r>
        <w:rPr>
          <w:rFonts w:ascii="Arial" w:cs="Arial" w:eastAsia="Arial" w:hAnsi="Arial"/>
          <w:sz w:val="32"/>
          <w:szCs w:val="32"/>
          <w:color w:val="auto"/>
        </w:rPr>
        <w:t>××</w:t>
      </w:r>
      <w:r>
        <w:rPr>
          <w:rFonts w:ascii="宋体" w:cs="宋体" w:eastAsia="宋体" w:hAnsi="宋体"/>
          <w:sz w:val="32"/>
          <w:szCs w:val="32"/>
          <w:color w:val="auto"/>
        </w:rPr>
        <w:t>日。</w:t>
      </w:r>
    </w:p>
    <w:p>
      <w:pPr>
        <w:spacing w:after="0" w:line="307" w:lineRule="exact"/>
        <w:rPr>
          <w:sz w:val="20"/>
          <w:szCs w:val="20"/>
          <w:color w:val="auto"/>
        </w:rPr>
      </w:pPr>
    </w:p>
    <w:p>
      <w:pPr>
        <w:jc w:val="both"/>
        <w:ind w:left="360" w:right="206" w:firstLine="641"/>
        <w:spacing w:after="0" w:line="522" w:lineRule="exact"/>
        <w:rPr>
          <w:sz w:val="20"/>
          <w:szCs w:val="20"/>
          <w:color w:val="auto"/>
        </w:rPr>
      </w:pPr>
      <w:r>
        <w:rPr>
          <w:rFonts w:ascii="宋体" w:cs="宋体" w:eastAsia="宋体" w:hAnsi="宋体"/>
          <w:sz w:val="32"/>
          <w:szCs w:val="32"/>
          <w:color w:val="auto"/>
        </w:rPr>
        <w:t>（二）说明确定评估基准日所考虑的主要因素，如经济行为的实现、财务报告期末、国家相关部门制定的行业监管指标变动情况以及利率、汇率和金融产品市场价格变化等。</w:t>
      </w:r>
    </w:p>
    <w:p>
      <w:pPr>
        <w:spacing w:after="0" w:line="308" w:lineRule="exact"/>
        <w:rPr>
          <w:sz w:val="20"/>
          <w:szCs w:val="20"/>
          <w:color w:val="auto"/>
        </w:rPr>
      </w:pPr>
    </w:p>
    <w:p>
      <w:pPr>
        <w:ind w:left="360" w:right="366" w:firstLine="641"/>
        <w:spacing w:after="0" w:line="470" w:lineRule="exact"/>
        <w:rPr>
          <w:sz w:val="20"/>
          <w:szCs w:val="20"/>
          <w:color w:val="auto"/>
        </w:rPr>
      </w:pPr>
      <w:r>
        <w:rPr>
          <w:rFonts w:ascii="宋体" w:cs="宋体" w:eastAsia="宋体" w:hAnsi="宋体"/>
          <w:sz w:val="32"/>
          <w:szCs w:val="32"/>
          <w:color w:val="auto"/>
        </w:rPr>
        <w:t>（三）如果评估基准日受特定经济行为文件的约束，应当载明该文件的名称、批准日期及文号。</w:t>
      </w:r>
    </w:p>
    <w:p>
      <w:pPr>
        <w:spacing w:after="0" w:line="308" w:lineRule="exact"/>
        <w:rPr>
          <w:sz w:val="20"/>
          <w:szCs w:val="20"/>
          <w:color w:val="auto"/>
        </w:rPr>
      </w:pPr>
    </w:p>
    <w:p>
      <w:pPr>
        <w:ind w:left="1000" w:right="2266"/>
        <w:spacing w:after="0" w:line="470" w:lineRule="exact"/>
        <w:rPr>
          <w:sz w:val="20"/>
          <w:szCs w:val="20"/>
          <w:color w:val="auto"/>
        </w:rPr>
      </w:pPr>
      <w:r>
        <w:rPr>
          <w:rFonts w:ascii="宋体" w:cs="宋体" w:eastAsia="宋体" w:hAnsi="宋体"/>
          <w:sz w:val="32"/>
          <w:szCs w:val="32"/>
          <w:color w:val="auto"/>
        </w:rPr>
        <w:t>五、可能影响评估工作的重大事项的说明一般包括下列内容：</w:t>
      </w:r>
    </w:p>
    <w:p>
      <w:pPr>
        <w:spacing w:after="0" w:line="272" w:lineRule="exact"/>
        <w:rPr>
          <w:sz w:val="20"/>
          <w:szCs w:val="20"/>
          <w:color w:val="auto"/>
        </w:rPr>
      </w:pPr>
    </w:p>
    <w:p>
      <w:pPr>
        <w:ind w:left="1000"/>
        <w:spacing w:after="0" w:line="354" w:lineRule="exact"/>
        <w:rPr>
          <w:sz w:val="20"/>
          <w:szCs w:val="20"/>
          <w:color w:val="auto"/>
        </w:rPr>
      </w:pPr>
      <w:r>
        <w:rPr>
          <w:rFonts w:ascii="宋体" w:cs="宋体" w:eastAsia="宋体" w:hAnsi="宋体"/>
          <w:sz w:val="31"/>
          <w:szCs w:val="31"/>
          <w:color w:val="auto"/>
        </w:rPr>
        <w:t>（一）曾经进行过清产核资或者评估的情况，调账情况；</w:t>
      </w:r>
    </w:p>
    <w:p>
      <w:pPr>
        <w:spacing w:after="0" w:line="307" w:lineRule="exact"/>
        <w:rPr>
          <w:sz w:val="20"/>
          <w:szCs w:val="20"/>
          <w:color w:val="auto"/>
        </w:rPr>
      </w:pPr>
    </w:p>
    <w:p>
      <w:pPr>
        <w:ind w:left="360" w:right="366" w:firstLine="641"/>
        <w:spacing w:after="0" w:line="470" w:lineRule="exact"/>
        <w:rPr>
          <w:sz w:val="20"/>
          <w:szCs w:val="20"/>
          <w:color w:val="auto"/>
        </w:rPr>
      </w:pPr>
      <w:r>
        <w:rPr>
          <w:rFonts w:ascii="宋体" w:cs="宋体" w:eastAsia="宋体" w:hAnsi="宋体"/>
          <w:sz w:val="32"/>
          <w:szCs w:val="32"/>
          <w:color w:val="auto"/>
        </w:rPr>
        <w:t>（二）影响经营活动和财务状况的重大合同、重大诉讼事项；</w:t>
      </w:r>
    </w:p>
    <w:p>
      <w:pPr>
        <w:spacing w:after="0" w:line="261" w:lineRule="exact"/>
        <w:rPr>
          <w:sz w:val="20"/>
          <w:szCs w:val="20"/>
          <w:color w:val="auto"/>
        </w:rPr>
      </w:pPr>
    </w:p>
    <w:p>
      <w:pPr>
        <w:ind w:left="1000"/>
        <w:spacing w:after="0" w:line="366" w:lineRule="exact"/>
        <w:rPr>
          <w:sz w:val="20"/>
          <w:szCs w:val="20"/>
          <w:color w:val="auto"/>
        </w:rPr>
      </w:pPr>
      <w:r>
        <w:rPr>
          <w:rFonts w:ascii="宋体" w:cs="宋体" w:eastAsia="宋体" w:hAnsi="宋体"/>
          <w:sz w:val="32"/>
          <w:szCs w:val="32"/>
          <w:color w:val="auto"/>
        </w:rPr>
        <w:t>（三）关于不良资产的说明。</w:t>
      </w:r>
    </w:p>
    <w:p>
      <w:pPr>
        <w:spacing w:after="0" w:line="259" w:lineRule="exact"/>
        <w:rPr>
          <w:sz w:val="20"/>
          <w:szCs w:val="20"/>
          <w:color w:val="auto"/>
        </w:rPr>
      </w:pPr>
    </w:p>
    <w:p>
      <w:pPr>
        <w:ind w:left="1000"/>
        <w:spacing w:after="0" w:line="366" w:lineRule="exact"/>
        <w:rPr>
          <w:sz w:val="20"/>
          <w:szCs w:val="20"/>
          <w:color w:val="auto"/>
        </w:rPr>
      </w:pPr>
      <w:r>
        <w:rPr>
          <w:rFonts w:ascii="宋体" w:cs="宋体" w:eastAsia="宋体" w:hAnsi="宋体"/>
          <w:sz w:val="32"/>
          <w:szCs w:val="32"/>
          <w:color w:val="auto"/>
        </w:rPr>
        <w:t>六、资产负债清查情况、未来经营和收益状况预测的说</w:t>
      </w:r>
    </w:p>
    <w:p>
      <w:pPr>
        <w:spacing w:after="0" w:line="259"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明</w:t>
      </w:r>
    </w:p>
    <w:p>
      <w:pPr>
        <w:spacing w:after="0" w:line="259" w:lineRule="exact"/>
        <w:rPr>
          <w:sz w:val="20"/>
          <w:szCs w:val="20"/>
          <w:color w:val="auto"/>
        </w:rPr>
      </w:pPr>
    </w:p>
    <w:p>
      <w:pPr>
        <w:ind w:left="1000"/>
        <w:spacing w:after="0" w:line="366" w:lineRule="exact"/>
        <w:rPr>
          <w:sz w:val="20"/>
          <w:szCs w:val="20"/>
          <w:color w:val="auto"/>
        </w:rPr>
      </w:pPr>
      <w:r>
        <w:rPr>
          <w:rFonts w:ascii="宋体" w:cs="宋体" w:eastAsia="宋体" w:hAnsi="宋体"/>
          <w:sz w:val="32"/>
          <w:szCs w:val="32"/>
          <w:color w:val="auto"/>
        </w:rPr>
        <w:t>（一）资产负债清查情况说明</w:t>
      </w:r>
    </w:p>
    <w:p>
      <w:pPr>
        <w:spacing w:after="0" w:line="259" w:lineRule="exact"/>
        <w:rPr>
          <w:sz w:val="20"/>
          <w:szCs w:val="20"/>
          <w:color w:val="auto"/>
        </w:rPr>
      </w:pPr>
    </w:p>
    <w:p>
      <w:pPr>
        <w:ind w:left="1000"/>
        <w:spacing w:after="0" w:line="366" w:lineRule="exact"/>
        <w:rPr>
          <w:sz w:val="20"/>
          <w:szCs w:val="20"/>
          <w:color w:val="auto"/>
        </w:rPr>
      </w:pPr>
      <w:r>
        <w:rPr>
          <w:rFonts w:ascii="宋体" w:cs="宋体" w:eastAsia="宋体" w:hAnsi="宋体"/>
          <w:sz w:val="32"/>
          <w:szCs w:val="32"/>
          <w:color w:val="auto"/>
        </w:rPr>
        <w:t>一般包括下列内容：</w:t>
      </w:r>
    </w:p>
    <w:p>
      <w:pPr>
        <w:spacing w:after="0" w:line="237" w:lineRule="exact"/>
        <w:rPr>
          <w:sz w:val="20"/>
          <w:szCs w:val="20"/>
          <w:color w:val="auto"/>
        </w:rPr>
      </w:pPr>
    </w:p>
    <w:p>
      <w:pPr>
        <w:ind w:left="1000"/>
        <w:spacing w:after="0" w:line="388" w:lineRule="exact"/>
        <w:rPr>
          <w:sz w:val="20"/>
          <w:szCs w:val="20"/>
          <w:color w:val="auto"/>
        </w:rPr>
      </w:pPr>
      <w:r>
        <w:rPr>
          <w:rFonts w:ascii="Arial" w:cs="Arial" w:eastAsia="Arial" w:hAnsi="Arial"/>
          <w:sz w:val="32"/>
          <w:szCs w:val="32"/>
          <w:color w:val="auto"/>
        </w:rPr>
        <w:t>1</w:t>
      </w:r>
      <w:r>
        <w:rPr>
          <w:rFonts w:ascii="宋体" w:cs="宋体" w:eastAsia="宋体" w:hAnsi="宋体"/>
          <w:sz w:val="32"/>
          <w:szCs w:val="32"/>
          <w:color w:val="auto"/>
        </w:rPr>
        <w:t>．清查范围与评估范围是否一致；</w:t>
      </w:r>
    </w:p>
    <w:p>
      <w:pPr>
        <w:spacing w:after="0" w:line="236" w:lineRule="exact"/>
        <w:rPr>
          <w:sz w:val="20"/>
          <w:szCs w:val="20"/>
          <w:color w:val="auto"/>
        </w:rPr>
      </w:pPr>
    </w:p>
    <w:p>
      <w:pPr>
        <w:ind w:left="1000"/>
        <w:spacing w:after="0" w:line="388" w:lineRule="exact"/>
        <w:rPr>
          <w:sz w:val="20"/>
          <w:szCs w:val="20"/>
          <w:color w:val="auto"/>
        </w:rPr>
      </w:pPr>
      <w:r>
        <w:rPr>
          <w:rFonts w:ascii="Arial" w:cs="Arial" w:eastAsia="Arial" w:hAnsi="Arial"/>
          <w:sz w:val="32"/>
          <w:szCs w:val="32"/>
          <w:color w:val="auto"/>
        </w:rPr>
        <w:t>2</w:t>
      </w:r>
      <w:r>
        <w:rPr>
          <w:rFonts w:ascii="宋体" w:cs="宋体" w:eastAsia="宋体" w:hAnsi="宋体"/>
          <w:sz w:val="32"/>
          <w:szCs w:val="32"/>
          <w:color w:val="auto"/>
        </w:rPr>
        <w:t>．清查结论。</w:t>
      </w:r>
    </w:p>
    <w:p>
      <w:pPr>
        <w:spacing w:after="0" w:line="259" w:lineRule="exact"/>
        <w:rPr>
          <w:sz w:val="20"/>
          <w:szCs w:val="20"/>
          <w:color w:val="auto"/>
        </w:rPr>
      </w:pPr>
    </w:p>
    <w:p>
      <w:pPr>
        <w:ind w:left="1000"/>
        <w:spacing w:after="0" w:line="366" w:lineRule="exact"/>
        <w:rPr>
          <w:sz w:val="20"/>
          <w:szCs w:val="20"/>
          <w:color w:val="auto"/>
        </w:rPr>
      </w:pPr>
      <w:r>
        <w:rPr>
          <w:rFonts w:ascii="宋体" w:cs="宋体" w:eastAsia="宋体" w:hAnsi="宋体"/>
          <w:sz w:val="32"/>
          <w:szCs w:val="32"/>
          <w:color w:val="auto"/>
        </w:rPr>
        <w:t>（二）未来经营和收益状况预测说明</w:t>
      </w:r>
    </w:p>
    <w:p>
      <w:pPr>
        <w:sectPr>
          <w:pgSz w:w="11900" w:h="16838" w:orient="portrait"/>
          <w:cols w:equalWidth="0" w:num="1">
            <w:col w:w="9026"/>
          </w:cols>
          <w:pgMar w:left="1440" w:top="1440" w:right="1440" w:bottom="1440" w:gutter="0" w:footer="0" w:header="0"/>
        </w:sectPr>
      </w:pPr>
    </w:p>
    <w:bookmarkStart w:id="27" w:name="page28"/>
    <w:bookmarkEnd w:id="27"/>
    <w:p>
      <w:pPr>
        <w:spacing w:after="0" w:line="104" w:lineRule="exact"/>
        <w:rPr>
          <w:sz w:val="20"/>
          <w:szCs w:val="20"/>
          <w:color w:val="auto"/>
        </w:rPr>
      </w:pPr>
    </w:p>
    <w:p>
      <w:pPr>
        <w:ind w:left="1000"/>
        <w:spacing w:after="0" w:line="366" w:lineRule="exact"/>
        <w:rPr>
          <w:sz w:val="20"/>
          <w:szCs w:val="20"/>
          <w:color w:val="auto"/>
        </w:rPr>
      </w:pPr>
      <w:r>
        <w:rPr>
          <w:rFonts w:ascii="宋体" w:cs="宋体" w:eastAsia="宋体" w:hAnsi="宋体"/>
          <w:sz w:val="32"/>
          <w:szCs w:val="32"/>
          <w:color w:val="auto"/>
        </w:rPr>
        <w:t>一般包括下列内容：</w:t>
      </w:r>
    </w:p>
    <w:p>
      <w:pPr>
        <w:spacing w:after="0" w:line="249" w:lineRule="exact"/>
        <w:rPr>
          <w:sz w:val="20"/>
          <w:szCs w:val="20"/>
          <w:color w:val="auto"/>
        </w:rPr>
      </w:pPr>
    </w:p>
    <w:p>
      <w:pPr>
        <w:ind w:left="1000"/>
        <w:spacing w:after="0" w:line="376" w:lineRule="exact"/>
        <w:rPr>
          <w:sz w:val="20"/>
          <w:szCs w:val="20"/>
          <w:color w:val="auto"/>
        </w:rPr>
      </w:pPr>
      <w:r>
        <w:rPr>
          <w:rFonts w:ascii="Arial" w:cs="Arial" w:eastAsia="Arial" w:hAnsi="Arial"/>
          <w:sz w:val="31"/>
          <w:szCs w:val="31"/>
          <w:color w:val="auto"/>
        </w:rPr>
        <w:t>1</w:t>
      </w:r>
      <w:r>
        <w:rPr>
          <w:rFonts w:ascii="宋体" w:cs="宋体" w:eastAsia="宋体" w:hAnsi="宋体"/>
          <w:sz w:val="31"/>
          <w:szCs w:val="31"/>
          <w:color w:val="auto"/>
        </w:rPr>
        <w:t>．所在行业相关经济要素及发展前景、经营历史情况、</w:t>
      </w:r>
    </w:p>
    <w:p>
      <w:pPr>
        <w:spacing w:after="0" w:line="259"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面临的竞争情况及优劣势分析；</w:t>
      </w:r>
    </w:p>
    <w:p>
      <w:pPr>
        <w:spacing w:after="0" w:line="236" w:lineRule="exact"/>
        <w:rPr>
          <w:sz w:val="20"/>
          <w:szCs w:val="20"/>
          <w:color w:val="auto"/>
        </w:rPr>
      </w:pPr>
    </w:p>
    <w:p>
      <w:pPr>
        <w:ind w:left="1000"/>
        <w:spacing w:after="0" w:line="388" w:lineRule="exact"/>
        <w:rPr>
          <w:sz w:val="20"/>
          <w:szCs w:val="20"/>
          <w:color w:val="auto"/>
        </w:rPr>
      </w:pPr>
      <w:r>
        <w:rPr>
          <w:rFonts w:ascii="Arial" w:cs="Arial" w:eastAsia="Arial" w:hAnsi="Arial"/>
          <w:sz w:val="32"/>
          <w:szCs w:val="32"/>
          <w:color w:val="auto"/>
        </w:rPr>
        <w:t>2</w:t>
      </w:r>
      <w:r>
        <w:rPr>
          <w:rFonts w:ascii="宋体" w:cs="宋体" w:eastAsia="宋体" w:hAnsi="宋体"/>
          <w:sz w:val="32"/>
          <w:szCs w:val="32"/>
          <w:color w:val="auto"/>
        </w:rPr>
        <w:t>．内部管理制度、人力资源、核心技术、研发状况、</w:t>
      </w:r>
    </w:p>
    <w:p>
      <w:pPr>
        <w:spacing w:after="0" w:line="259"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无形资产、管理层构成等经营管理状况；</w:t>
      </w:r>
    </w:p>
    <w:p>
      <w:pPr>
        <w:spacing w:after="0" w:line="236" w:lineRule="exact"/>
        <w:rPr>
          <w:sz w:val="20"/>
          <w:szCs w:val="20"/>
          <w:color w:val="auto"/>
        </w:rPr>
      </w:pPr>
    </w:p>
    <w:p>
      <w:pPr>
        <w:ind w:left="1000"/>
        <w:spacing w:after="0" w:line="388" w:lineRule="exact"/>
        <w:rPr>
          <w:sz w:val="20"/>
          <w:szCs w:val="20"/>
          <w:color w:val="auto"/>
        </w:rPr>
      </w:pPr>
      <w:r>
        <w:rPr>
          <w:rFonts w:ascii="Arial" w:cs="Arial" w:eastAsia="Arial" w:hAnsi="Arial"/>
          <w:sz w:val="32"/>
          <w:szCs w:val="32"/>
          <w:color w:val="auto"/>
        </w:rPr>
        <w:t>3</w:t>
      </w:r>
      <w:r>
        <w:rPr>
          <w:rFonts w:ascii="宋体" w:cs="宋体" w:eastAsia="宋体" w:hAnsi="宋体"/>
          <w:sz w:val="32"/>
          <w:szCs w:val="32"/>
          <w:color w:val="auto"/>
        </w:rPr>
        <w:t>．近年企业资产、负债、权益、盈利、利润分配、现</w:t>
      </w:r>
    </w:p>
    <w:p>
      <w:pPr>
        <w:spacing w:after="0" w:line="259"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金流量等资产财务状况；</w:t>
      </w:r>
    </w:p>
    <w:p>
      <w:pPr>
        <w:spacing w:after="0" w:line="237" w:lineRule="exact"/>
        <w:rPr>
          <w:sz w:val="20"/>
          <w:szCs w:val="20"/>
          <w:color w:val="auto"/>
        </w:rPr>
      </w:pPr>
    </w:p>
    <w:p>
      <w:pPr>
        <w:ind w:left="1000"/>
        <w:spacing w:after="0" w:line="388" w:lineRule="exact"/>
        <w:rPr>
          <w:sz w:val="20"/>
          <w:szCs w:val="20"/>
          <w:color w:val="auto"/>
        </w:rPr>
      </w:pPr>
      <w:r>
        <w:rPr>
          <w:rFonts w:ascii="Arial" w:cs="Arial" w:eastAsia="Arial" w:hAnsi="Arial"/>
          <w:sz w:val="32"/>
          <w:szCs w:val="32"/>
          <w:color w:val="auto"/>
        </w:rPr>
        <w:t>4</w:t>
      </w:r>
      <w:r>
        <w:rPr>
          <w:rFonts w:ascii="宋体" w:cs="宋体" w:eastAsia="宋体" w:hAnsi="宋体"/>
          <w:sz w:val="32"/>
          <w:szCs w:val="32"/>
          <w:color w:val="auto"/>
        </w:rPr>
        <w:t>．未来主营业务收入、成本、费用等的预测过程和结</w:t>
      </w:r>
    </w:p>
    <w:p>
      <w:pPr>
        <w:spacing w:after="0" w:line="259"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果；</w:t>
      </w:r>
    </w:p>
    <w:p>
      <w:pPr>
        <w:spacing w:after="0" w:line="236" w:lineRule="exact"/>
        <w:rPr>
          <w:sz w:val="20"/>
          <w:szCs w:val="20"/>
          <w:color w:val="auto"/>
        </w:rPr>
      </w:pPr>
    </w:p>
    <w:p>
      <w:pPr>
        <w:ind w:left="1000"/>
        <w:spacing w:after="0" w:line="388" w:lineRule="exact"/>
        <w:rPr>
          <w:sz w:val="20"/>
          <w:szCs w:val="20"/>
          <w:color w:val="auto"/>
        </w:rPr>
      </w:pPr>
      <w:r>
        <w:rPr>
          <w:rFonts w:ascii="Arial" w:cs="Arial" w:eastAsia="Arial" w:hAnsi="Arial"/>
          <w:sz w:val="32"/>
          <w:szCs w:val="32"/>
          <w:color w:val="auto"/>
        </w:rPr>
        <w:t>5</w:t>
      </w:r>
      <w:r>
        <w:rPr>
          <w:rFonts w:ascii="宋体" w:cs="宋体" w:eastAsia="宋体" w:hAnsi="宋体"/>
          <w:sz w:val="32"/>
          <w:szCs w:val="32"/>
          <w:color w:val="auto"/>
        </w:rPr>
        <w:t>．如果企业存在关联交易，应当说明关联交易的性质</w:t>
      </w:r>
    </w:p>
    <w:p>
      <w:pPr>
        <w:spacing w:after="0" w:line="259"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及定价原则等。</w:t>
      </w:r>
    </w:p>
    <w:p>
      <w:pPr>
        <w:spacing w:after="0" w:line="259" w:lineRule="exact"/>
        <w:rPr>
          <w:sz w:val="20"/>
          <w:szCs w:val="20"/>
          <w:color w:val="auto"/>
        </w:rPr>
      </w:pPr>
    </w:p>
    <w:p>
      <w:pPr>
        <w:ind w:left="1000"/>
        <w:spacing w:after="0" w:line="366" w:lineRule="exact"/>
        <w:rPr>
          <w:sz w:val="20"/>
          <w:szCs w:val="20"/>
          <w:color w:val="auto"/>
        </w:rPr>
      </w:pPr>
      <w:r>
        <w:rPr>
          <w:rFonts w:ascii="宋体" w:cs="宋体" w:eastAsia="宋体" w:hAnsi="宋体"/>
          <w:sz w:val="32"/>
          <w:szCs w:val="32"/>
          <w:color w:val="auto"/>
        </w:rPr>
        <w:t>七、资料清单</w:t>
      </w:r>
    </w:p>
    <w:p>
      <w:pPr>
        <w:spacing w:after="0" w:line="259" w:lineRule="exact"/>
        <w:rPr>
          <w:sz w:val="20"/>
          <w:szCs w:val="20"/>
          <w:color w:val="auto"/>
        </w:rPr>
      </w:pPr>
    </w:p>
    <w:p>
      <w:pPr>
        <w:ind w:left="1000"/>
        <w:spacing w:after="0" w:line="366" w:lineRule="exact"/>
        <w:rPr>
          <w:sz w:val="20"/>
          <w:szCs w:val="20"/>
          <w:color w:val="auto"/>
        </w:rPr>
      </w:pPr>
      <w:r>
        <w:rPr>
          <w:rFonts w:ascii="宋体" w:cs="宋体" w:eastAsia="宋体" w:hAnsi="宋体"/>
          <w:sz w:val="32"/>
          <w:szCs w:val="32"/>
          <w:color w:val="auto"/>
        </w:rPr>
        <w:t>一般包括下列内容：</w:t>
      </w:r>
    </w:p>
    <w:p>
      <w:pPr>
        <w:spacing w:after="0" w:line="259" w:lineRule="exact"/>
        <w:rPr>
          <w:sz w:val="20"/>
          <w:szCs w:val="20"/>
          <w:color w:val="auto"/>
        </w:rPr>
      </w:pPr>
    </w:p>
    <w:p>
      <w:pPr>
        <w:ind w:left="1000"/>
        <w:spacing w:after="0" w:line="366" w:lineRule="exact"/>
        <w:rPr>
          <w:sz w:val="20"/>
          <w:szCs w:val="20"/>
          <w:color w:val="auto"/>
        </w:rPr>
      </w:pPr>
      <w:r>
        <w:rPr>
          <w:rFonts w:ascii="宋体" w:cs="宋体" w:eastAsia="宋体" w:hAnsi="宋体"/>
          <w:sz w:val="32"/>
          <w:szCs w:val="32"/>
          <w:color w:val="auto"/>
        </w:rPr>
        <w:t>（一）评估申报表（由资产评估机构出具样式）；</w:t>
      </w:r>
    </w:p>
    <w:p>
      <w:pPr>
        <w:spacing w:after="0" w:line="259" w:lineRule="exact"/>
        <w:rPr>
          <w:sz w:val="20"/>
          <w:szCs w:val="20"/>
          <w:color w:val="auto"/>
        </w:rPr>
      </w:pPr>
    </w:p>
    <w:p>
      <w:pPr>
        <w:ind w:left="1000"/>
        <w:spacing w:after="0" w:line="366" w:lineRule="exact"/>
        <w:rPr>
          <w:sz w:val="20"/>
          <w:szCs w:val="20"/>
          <w:color w:val="auto"/>
        </w:rPr>
      </w:pPr>
      <w:r>
        <w:rPr>
          <w:rFonts w:ascii="宋体" w:cs="宋体" w:eastAsia="宋体" w:hAnsi="宋体"/>
          <w:sz w:val="32"/>
          <w:szCs w:val="32"/>
          <w:color w:val="auto"/>
        </w:rPr>
        <w:t>（二）相关经济行为的批文；</w:t>
      </w:r>
    </w:p>
    <w:p>
      <w:pPr>
        <w:spacing w:after="0" w:line="259" w:lineRule="exact"/>
        <w:rPr>
          <w:sz w:val="20"/>
          <w:szCs w:val="20"/>
          <w:color w:val="auto"/>
        </w:rPr>
      </w:pPr>
    </w:p>
    <w:p>
      <w:pPr>
        <w:ind w:left="1000"/>
        <w:spacing w:after="0" w:line="366" w:lineRule="exact"/>
        <w:rPr>
          <w:sz w:val="20"/>
          <w:szCs w:val="20"/>
          <w:color w:val="auto"/>
        </w:rPr>
      </w:pPr>
      <w:r>
        <w:rPr>
          <w:rFonts w:ascii="宋体" w:cs="宋体" w:eastAsia="宋体" w:hAnsi="宋体"/>
          <w:sz w:val="32"/>
          <w:szCs w:val="32"/>
          <w:color w:val="auto"/>
        </w:rPr>
        <w:t>（三）财务报表及审计报告；</w:t>
      </w:r>
    </w:p>
    <w:p>
      <w:pPr>
        <w:spacing w:after="0" w:line="259" w:lineRule="exact"/>
        <w:rPr>
          <w:sz w:val="20"/>
          <w:szCs w:val="20"/>
          <w:color w:val="auto"/>
        </w:rPr>
      </w:pPr>
    </w:p>
    <w:p>
      <w:pPr>
        <w:ind w:left="1000"/>
        <w:spacing w:after="0" w:line="366" w:lineRule="exact"/>
        <w:rPr>
          <w:sz w:val="20"/>
          <w:szCs w:val="20"/>
          <w:color w:val="auto"/>
        </w:rPr>
      </w:pPr>
      <w:r>
        <w:rPr>
          <w:rFonts w:ascii="宋体" w:cs="宋体" w:eastAsia="宋体" w:hAnsi="宋体"/>
          <w:sz w:val="32"/>
          <w:szCs w:val="32"/>
          <w:color w:val="auto"/>
        </w:rPr>
        <w:t>（四）资产权属证明文件；</w:t>
      </w:r>
    </w:p>
    <w:p>
      <w:pPr>
        <w:spacing w:after="0" w:line="259" w:lineRule="exact"/>
        <w:rPr>
          <w:sz w:val="20"/>
          <w:szCs w:val="20"/>
          <w:color w:val="auto"/>
        </w:rPr>
      </w:pPr>
    </w:p>
    <w:p>
      <w:pPr>
        <w:ind w:left="1000"/>
        <w:spacing w:after="0" w:line="366" w:lineRule="exact"/>
        <w:rPr>
          <w:sz w:val="20"/>
          <w:szCs w:val="20"/>
          <w:color w:val="auto"/>
        </w:rPr>
      </w:pPr>
      <w:r>
        <w:rPr>
          <w:rFonts w:ascii="宋体" w:cs="宋体" w:eastAsia="宋体" w:hAnsi="宋体"/>
          <w:sz w:val="32"/>
          <w:szCs w:val="32"/>
          <w:color w:val="auto"/>
        </w:rPr>
        <w:t>（五）重大合同、协议等；</w:t>
      </w:r>
    </w:p>
    <w:p>
      <w:pPr>
        <w:spacing w:after="0" w:line="259" w:lineRule="exact"/>
        <w:rPr>
          <w:sz w:val="20"/>
          <w:szCs w:val="20"/>
          <w:color w:val="auto"/>
        </w:rPr>
      </w:pPr>
    </w:p>
    <w:p>
      <w:pPr>
        <w:ind w:left="1000"/>
        <w:spacing w:after="0" w:line="366" w:lineRule="exact"/>
        <w:rPr>
          <w:sz w:val="20"/>
          <w:szCs w:val="20"/>
          <w:color w:val="auto"/>
        </w:rPr>
      </w:pPr>
      <w:r>
        <w:rPr>
          <w:rFonts w:ascii="宋体" w:cs="宋体" w:eastAsia="宋体" w:hAnsi="宋体"/>
          <w:sz w:val="32"/>
          <w:szCs w:val="32"/>
          <w:color w:val="auto"/>
        </w:rPr>
        <w:t>（六）经营统计资料；</w:t>
      </w:r>
    </w:p>
    <w:p>
      <w:pPr>
        <w:spacing w:after="0" w:line="260" w:lineRule="exact"/>
        <w:rPr>
          <w:sz w:val="20"/>
          <w:szCs w:val="20"/>
          <w:color w:val="auto"/>
        </w:rPr>
      </w:pPr>
    </w:p>
    <w:p>
      <w:pPr>
        <w:ind w:left="1000"/>
        <w:spacing w:after="0" w:line="366" w:lineRule="exact"/>
        <w:rPr>
          <w:sz w:val="20"/>
          <w:szCs w:val="20"/>
          <w:color w:val="auto"/>
        </w:rPr>
      </w:pPr>
      <w:r>
        <w:rPr>
          <w:rFonts w:ascii="宋体" w:cs="宋体" w:eastAsia="宋体" w:hAnsi="宋体"/>
          <w:sz w:val="32"/>
          <w:szCs w:val="32"/>
          <w:color w:val="auto"/>
        </w:rPr>
        <w:t>（七）其他资料。</w:t>
      </w:r>
    </w:p>
    <w:p>
      <w:pPr>
        <w:sectPr>
          <w:pgSz w:w="11900" w:h="16838" w:orient="portrait"/>
          <w:cols w:equalWidth="0" w:num="1">
            <w:col w:w="9026"/>
          </w:cols>
          <w:pgMar w:left="1440" w:top="1440" w:right="1440" w:bottom="1440" w:gutter="0" w:footer="0" w:header="0"/>
        </w:sectPr>
      </w:pPr>
    </w:p>
    <w:bookmarkStart w:id="28" w:name="page29"/>
    <w:bookmarkEnd w:id="28"/>
    <w:p>
      <w:pPr>
        <w:spacing w:after="0" w:line="104"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 xml:space="preserve">附 </w:t>
      </w:r>
      <w:r>
        <w:rPr>
          <w:rFonts w:ascii="黑体" w:cs="黑体" w:eastAsia="黑体" w:hAnsi="黑体"/>
          <w:sz w:val="32"/>
          <w:szCs w:val="32"/>
          <w:color w:val="auto"/>
        </w:rPr>
        <w:t>4</w:t>
      </w:r>
    </w:p>
    <w:p>
      <w:pPr>
        <w:spacing w:after="0" w:line="200" w:lineRule="exact"/>
        <w:rPr>
          <w:sz w:val="20"/>
          <w:szCs w:val="20"/>
          <w:color w:val="auto"/>
        </w:rPr>
      </w:pPr>
    </w:p>
    <w:p>
      <w:pPr>
        <w:spacing w:after="0" w:line="215" w:lineRule="exact"/>
        <w:rPr>
          <w:sz w:val="20"/>
          <w:szCs w:val="20"/>
          <w:color w:val="auto"/>
        </w:rPr>
      </w:pPr>
    </w:p>
    <w:p>
      <w:pPr>
        <w:ind w:left="2920"/>
        <w:spacing w:after="0" w:line="366" w:lineRule="exact"/>
        <w:rPr>
          <w:sz w:val="20"/>
          <w:szCs w:val="20"/>
          <w:color w:val="auto"/>
        </w:rPr>
      </w:pPr>
      <w:r>
        <w:rPr>
          <w:rFonts w:ascii="宋体" w:cs="宋体" w:eastAsia="宋体" w:hAnsi="宋体"/>
          <w:sz w:val="32"/>
          <w:szCs w:val="32"/>
          <w:color w:val="auto"/>
        </w:rPr>
        <w:t>《 资产评估说明》编写指引</w:t>
      </w:r>
    </w:p>
    <w:p>
      <w:pPr>
        <w:spacing w:after="0" w:line="200" w:lineRule="exact"/>
        <w:rPr>
          <w:sz w:val="20"/>
          <w:szCs w:val="20"/>
          <w:color w:val="auto"/>
        </w:rPr>
      </w:pPr>
    </w:p>
    <w:p>
      <w:pPr>
        <w:spacing w:after="0" w:line="215" w:lineRule="exact"/>
        <w:rPr>
          <w:sz w:val="20"/>
          <w:szCs w:val="20"/>
          <w:color w:val="auto"/>
        </w:rPr>
      </w:pPr>
    </w:p>
    <w:p>
      <w:pPr>
        <w:jc w:val="center"/>
        <w:ind w:right="-653"/>
        <w:spacing w:after="0" w:line="366" w:lineRule="exact"/>
        <w:rPr>
          <w:sz w:val="20"/>
          <w:szCs w:val="20"/>
          <w:color w:val="auto"/>
        </w:rPr>
      </w:pPr>
      <w:r>
        <w:rPr>
          <w:rFonts w:ascii="宋体" w:cs="宋体" w:eastAsia="宋体" w:hAnsi="宋体"/>
          <w:sz w:val="32"/>
          <w:szCs w:val="32"/>
          <w:color w:val="auto"/>
        </w:rPr>
        <w:t>（供参考）</w:t>
      </w:r>
    </w:p>
    <w:p>
      <w:pPr>
        <w:spacing w:after="0" w:line="307" w:lineRule="exact"/>
        <w:rPr>
          <w:sz w:val="20"/>
          <w:szCs w:val="20"/>
          <w:color w:val="auto"/>
        </w:rPr>
      </w:pPr>
    </w:p>
    <w:p>
      <w:pPr>
        <w:jc w:val="both"/>
        <w:ind w:left="360" w:right="366" w:firstLine="641"/>
        <w:spacing w:after="0" w:line="563" w:lineRule="exact"/>
        <w:rPr>
          <w:sz w:val="20"/>
          <w:szCs w:val="20"/>
          <w:color w:val="auto"/>
        </w:rPr>
      </w:pPr>
      <w:r>
        <w:rPr>
          <w:rFonts w:ascii="宋体" w:cs="宋体" w:eastAsia="宋体" w:hAnsi="宋体"/>
          <w:sz w:val="32"/>
          <w:szCs w:val="32"/>
          <w:color w:val="auto"/>
        </w:rPr>
        <w:t>资产评估说明是申请备案核准资产评估业务的必备材料，为方便金融企业国有资产监督管理部门和相关机构全面了解资产评估情况，本指引结合国有资产评估业务备案核准的要求，为资产评估机构及资产评估师编写资产评估说明提供指引。</w:t>
      </w:r>
    </w:p>
    <w:p>
      <w:pPr>
        <w:spacing w:after="0" w:line="200" w:lineRule="exact"/>
        <w:rPr>
          <w:sz w:val="20"/>
          <w:szCs w:val="20"/>
          <w:color w:val="auto"/>
        </w:rPr>
      </w:pPr>
    </w:p>
    <w:p>
      <w:pPr>
        <w:spacing w:after="0" w:line="229" w:lineRule="exact"/>
        <w:rPr>
          <w:sz w:val="20"/>
          <w:szCs w:val="20"/>
          <w:color w:val="auto"/>
        </w:rPr>
      </w:pPr>
    </w:p>
    <w:p>
      <w:pPr>
        <w:jc w:val="center"/>
        <w:ind w:right="6"/>
        <w:spacing w:after="0" w:line="343" w:lineRule="exact"/>
        <w:rPr>
          <w:sz w:val="20"/>
          <w:szCs w:val="20"/>
          <w:color w:val="auto"/>
        </w:rPr>
      </w:pPr>
      <w:r>
        <w:rPr>
          <w:rFonts w:ascii="宋体" w:cs="宋体" w:eastAsia="宋体" w:hAnsi="宋体"/>
          <w:sz w:val="30"/>
          <w:szCs w:val="30"/>
          <w:color w:val="auto"/>
        </w:rPr>
        <w:t>第一部分 资产评估说明封面及目录</w:t>
      </w:r>
    </w:p>
    <w:p>
      <w:pPr>
        <w:spacing w:after="0" w:line="200" w:lineRule="exact"/>
        <w:rPr>
          <w:sz w:val="20"/>
          <w:szCs w:val="20"/>
          <w:color w:val="auto"/>
        </w:rPr>
      </w:pPr>
    </w:p>
    <w:p>
      <w:pPr>
        <w:spacing w:after="0" w:line="224" w:lineRule="exact"/>
        <w:rPr>
          <w:sz w:val="20"/>
          <w:szCs w:val="20"/>
          <w:color w:val="auto"/>
        </w:rPr>
      </w:pPr>
    </w:p>
    <w:p>
      <w:pPr>
        <w:ind w:left="1000"/>
        <w:spacing w:after="0" w:line="366" w:lineRule="exact"/>
        <w:rPr>
          <w:sz w:val="20"/>
          <w:szCs w:val="20"/>
          <w:color w:val="auto"/>
        </w:rPr>
      </w:pPr>
      <w:r>
        <w:rPr>
          <w:rFonts w:ascii="宋体" w:cs="宋体" w:eastAsia="宋体" w:hAnsi="宋体"/>
          <w:sz w:val="32"/>
          <w:szCs w:val="32"/>
          <w:color w:val="auto"/>
        </w:rPr>
        <w:t>一、封面</w:t>
      </w:r>
    </w:p>
    <w:p>
      <w:pPr>
        <w:spacing w:after="0" w:line="259" w:lineRule="exact"/>
        <w:rPr>
          <w:sz w:val="20"/>
          <w:szCs w:val="20"/>
          <w:color w:val="auto"/>
        </w:rPr>
      </w:pPr>
    </w:p>
    <w:p>
      <w:pPr>
        <w:ind w:left="1000"/>
        <w:spacing w:after="0" w:line="366" w:lineRule="exact"/>
        <w:rPr>
          <w:sz w:val="20"/>
          <w:szCs w:val="20"/>
          <w:color w:val="auto"/>
        </w:rPr>
      </w:pPr>
      <w:r>
        <w:rPr>
          <w:rFonts w:ascii="宋体" w:cs="宋体" w:eastAsia="宋体" w:hAnsi="宋体"/>
          <w:sz w:val="32"/>
          <w:szCs w:val="32"/>
          <w:color w:val="auto"/>
        </w:rPr>
        <w:t>资产评估说明封面应当载明资产评估报告标题及文号、</w:t>
      </w:r>
    </w:p>
    <w:p>
      <w:pPr>
        <w:spacing w:after="0" w:line="259"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资产评估机构全称和资产评估报告日。</w:t>
      </w:r>
    </w:p>
    <w:p>
      <w:pPr>
        <w:spacing w:after="0" w:line="259" w:lineRule="exact"/>
        <w:rPr>
          <w:sz w:val="20"/>
          <w:szCs w:val="20"/>
          <w:color w:val="auto"/>
        </w:rPr>
      </w:pPr>
    </w:p>
    <w:p>
      <w:pPr>
        <w:ind w:left="1000"/>
        <w:spacing w:after="0" w:line="366" w:lineRule="exact"/>
        <w:rPr>
          <w:sz w:val="20"/>
          <w:szCs w:val="20"/>
          <w:color w:val="auto"/>
        </w:rPr>
      </w:pPr>
      <w:r>
        <w:rPr>
          <w:rFonts w:ascii="宋体" w:cs="宋体" w:eastAsia="宋体" w:hAnsi="宋体"/>
          <w:sz w:val="32"/>
          <w:szCs w:val="32"/>
          <w:color w:val="auto"/>
        </w:rPr>
        <w:t>二、目录</w:t>
      </w:r>
    </w:p>
    <w:p>
      <w:pPr>
        <w:spacing w:after="0" w:line="259" w:lineRule="exact"/>
        <w:rPr>
          <w:sz w:val="20"/>
          <w:szCs w:val="20"/>
          <w:color w:val="auto"/>
        </w:rPr>
      </w:pPr>
    </w:p>
    <w:p>
      <w:pPr>
        <w:ind w:left="1000"/>
        <w:spacing w:after="0" w:line="366" w:lineRule="exact"/>
        <w:rPr>
          <w:sz w:val="20"/>
          <w:szCs w:val="20"/>
          <w:color w:val="auto"/>
        </w:rPr>
      </w:pPr>
      <w:r>
        <w:rPr>
          <w:rFonts w:ascii="宋体" w:cs="宋体" w:eastAsia="宋体" w:hAnsi="宋体"/>
          <w:sz w:val="32"/>
          <w:szCs w:val="32"/>
          <w:color w:val="auto"/>
        </w:rPr>
        <w:t>（一）目录应当在封面的下一页排印，包括每一部分的</w:t>
      </w:r>
    </w:p>
    <w:p>
      <w:pPr>
        <w:spacing w:after="0" w:line="259"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标题和相应页码。</w:t>
      </w:r>
    </w:p>
    <w:p>
      <w:pPr>
        <w:spacing w:after="0" w:line="259" w:lineRule="exact"/>
        <w:rPr>
          <w:sz w:val="20"/>
          <w:szCs w:val="20"/>
          <w:color w:val="auto"/>
        </w:rPr>
      </w:pPr>
    </w:p>
    <w:p>
      <w:pPr>
        <w:ind w:left="1000"/>
        <w:spacing w:after="0" w:line="366" w:lineRule="exact"/>
        <w:rPr>
          <w:sz w:val="20"/>
          <w:szCs w:val="20"/>
          <w:color w:val="auto"/>
        </w:rPr>
      </w:pPr>
      <w:r>
        <w:rPr>
          <w:rFonts w:ascii="宋体" w:cs="宋体" w:eastAsia="宋体" w:hAnsi="宋体"/>
          <w:sz w:val="32"/>
          <w:szCs w:val="32"/>
          <w:color w:val="auto"/>
        </w:rPr>
        <w:t>（二）如果资产评估说明中收录有关文件或者资料的复</w:t>
      </w:r>
    </w:p>
    <w:p>
      <w:pPr>
        <w:spacing w:after="0" w:line="259"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印件，应当统一标注页码。</w:t>
      </w:r>
    </w:p>
    <w:p>
      <w:pPr>
        <w:spacing w:after="0" w:line="200" w:lineRule="exact"/>
        <w:rPr>
          <w:sz w:val="20"/>
          <w:szCs w:val="20"/>
          <w:color w:val="auto"/>
        </w:rPr>
      </w:pPr>
    </w:p>
    <w:p>
      <w:pPr>
        <w:spacing w:after="0" w:line="229" w:lineRule="exact"/>
        <w:rPr>
          <w:sz w:val="20"/>
          <w:szCs w:val="20"/>
          <w:color w:val="auto"/>
        </w:rPr>
      </w:pPr>
    </w:p>
    <w:p>
      <w:pPr>
        <w:jc w:val="center"/>
        <w:ind w:right="6"/>
        <w:spacing w:after="0" w:line="343" w:lineRule="exact"/>
        <w:rPr>
          <w:sz w:val="20"/>
          <w:szCs w:val="20"/>
          <w:color w:val="auto"/>
        </w:rPr>
      </w:pPr>
      <w:r>
        <w:rPr>
          <w:rFonts w:ascii="宋体" w:cs="宋体" w:eastAsia="宋体" w:hAnsi="宋体"/>
          <w:sz w:val="30"/>
          <w:szCs w:val="30"/>
          <w:color w:val="auto"/>
        </w:rPr>
        <w:t>第二部分 关于资产评估说明使用范围的声明</w:t>
      </w:r>
    </w:p>
    <w:p>
      <w:pPr>
        <w:spacing w:after="0" w:line="200" w:lineRule="exact"/>
        <w:rPr>
          <w:sz w:val="20"/>
          <w:szCs w:val="20"/>
          <w:color w:val="auto"/>
        </w:rPr>
      </w:pPr>
    </w:p>
    <w:p>
      <w:pPr>
        <w:spacing w:after="0" w:line="224" w:lineRule="exact"/>
        <w:rPr>
          <w:sz w:val="20"/>
          <w:szCs w:val="20"/>
          <w:color w:val="auto"/>
        </w:rPr>
      </w:pPr>
    </w:p>
    <w:p>
      <w:pPr>
        <w:ind w:left="1000"/>
        <w:spacing w:after="0" w:line="366" w:lineRule="exact"/>
        <w:rPr>
          <w:sz w:val="20"/>
          <w:szCs w:val="20"/>
          <w:color w:val="auto"/>
        </w:rPr>
      </w:pPr>
      <w:r>
        <w:rPr>
          <w:rFonts w:ascii="宋体" w:cs="宋体" w:eastAsia="宋体" w:hAnsi="宋体"/>
          <w:sz w:val="32"/>
          <w:szCs w:val="32"/>
          <w:color w:val="auto"/>
        </w:rPr>
        <w:t>声明应当写明，资产评估说明供金融企业国有资产监督</w:t>
      </w:r>
    </w:p>
    <w:p>
      <w:pPr>
        <w:spacing w:after="0" w:line="270" w:lineRule="exact"/>
        <w:rPr>
          <w:sz w:val="20"/>
          <w:szCs w:val="20"/>
          <w:color w:val="auto"/>
        </w:rPr>
      </w:pPr>
    </w:p>
    <w:p>
      <w:pPr>
        <w:jc w:val="center"/>
        <w:ind w:right="6"/>
        <w:spacing w:after="0" w:line="354" w:lineRule="exact"/>
        <w:rPr>
          <w:sz w:val="20"/>
          <w:szCs w:val="20"/>
          <w:color w:val="auto"/>
        </w:rPr>
      </w:pPr>
      <w:r>
        <w:rPr>
          <w:rFonts w:ascii="宋体" w:cs="宋体" w:eastAsia="宋体" w:hAnsi="宋体"/>
          <w:sz w:val="31"/>
          <w:szCs w:val="31"/>
          <w:color w:val="auto"/>
        </w:rPr>
        <w:t>管理部门（含所出资企业）、相关监管机构和部门使用。除</w:t>
      </w:r>
    </w:p>
    <w:p>
      <w:pPr>
        <w:spacing w:after="0" w:line="270" w:lineRule="exact"/>
        <w:rPr>
          <w:sz w:val="20"/>
          <w:szCs w:val="20"/>
          <w:color w:val="auto"/>
        </w:rPr>
      </w:pPr>
    </w:p>
    <w:p>
      <w:pPr>
        <w:jc w:val="center"/>
        <w:ind w:right="6"/>
        <w:spacing w:after="0" w:line="354" w:lineRule="exact"/>
        <w:rPr>
          <w:sz w:val="20"/>
          <w:szCs w:val="20"/>
          <w:color w:val="auto"/>
        </w:rPr>
      </w:pPr>
      <w:r>
        <w:rPr>
          <w:rFonts w:ascii="宋体" w:cs="宋体" w:eastAsia="宋体" w:hAnsi="宋体"/>
          <w:sz w:val="31"/>
          <w:szCs w:val="31"/>
          <w:color w:val="auto"/>
        </w:rPr>
        <w:t>法律、行政法规规定外，资产评估说明的全部或者部分内容</w:t>
      </w:r>
    </w:p>
    <w:p>
      <w:pPr>
        <w:sectPr>
          <w:pgSz w:w="11900" w:h="16838" w:orient="portrait"/>
          <w:cols w:equalWidth="0" w:num="1">
            <w:col w:w="9026"/>
          </w:cols>
          <w:pgMar w:left="1440" w:top="1440" w:right="1440" w:bottom="947" w:gutter="0" w:footer="0" w:header="0"/>
        </w:sectPr>
      </w:pPr>
    </w:p>
    <w:bookmarkStart w:id="29" w:name="page30"/>
    <w:bookmarkEnd w:id="29"/>
    <w:p>
      <w:pPr>
        <w:spacing w:after="0" w:line="104"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不得提供给其他任何单位和个人，不得见诸公开媒体。</w:t>
      </w:r>
    </w:p>
    <w:p>
      <w:pPr>
        <w:spacing w:after="0" w:line="200" w:lineRule="exact"/>
        <w:rPr>
          <w:sz w:val="20"/>
          <w:szCs w:val="20"/>
          <w:color w:val="auto"/>
        </w:rPr>
      </w:pPr>
    </w:p>
    <w:p>
      <w:pPr>
        <w:spacing w:after="0" w:line="229" w:lineRule="exact"/>
        <w:rPr>
          <w:sz w:val="20"/>
          <w:szCs w:val="20"/>
          <w:color w:val="auto"/>
        </w:rPr>
      </w:pPr>
    </w:p>
    <w:p>
      <w:pPr>
        <w:jc w:val="center"/>
        <w:ind w:right="6"/>
        <w:spacing w:after="0" w:line="343" w:lineRule="exact"/>
        <w:rPr>
          <w:sz w:val="20"/>
          <w:szCs w:val="20"/>
          <w:color w:val="auto"/>
        </w:rPr>
      </w:pPr>
      <w:r>
        <w:rPr>
          <w:rFonts w:ascii="宋体" w:cs="宋体" w:eastAsia="宋体" w:hAnsi="宋体"/>
          <w:sz w:val="30"/>
          <w:szCs w:val="30"/>
          <w:color w:val="auto"/>
        </w:rPr>
        <w:t>第三部分 资产评估说明正文</w:t>
      </w:r>
    </w:p>
    <w:p>
      <w:pPr>
        <w:spacing w:after="0" w:line="200" w:lineRule="exact"/>
        <w:rPr>
          <w:sz w:val="20"/>
          <w:szCs w:val="20"/>
          <w:color w:val="auto"/>
        </w:rPr>
      </w:pPr>
    </w:p>
    <w:p>
      <w:pPr>
        <w:spacing w:after="0" w:line="224" w:lineRule="exact"/>
        <w:rPr>
          <w:sz w:val="20"/>
          <w:szCs w:val="20"/>
          <w:color w:val="auto"/>
        </w:rPr>
      </w:pPr>
    </w:p>
    <w:p>
      <w:pPr>
        <w:ind w:left="1000"/>
        <w:spacing w:after="0" w:line="366" w:lineRule="exact"/>
        <w:rPr>
          <w:sz w:val="20"/>
          <w:szCs w:val="20"/>
          <w:color w:val="auto"/>
        </w:rPr>
      </w:pPr>
      <w:r>
        <w:rPr>
          <w:rFonts w:ascii="宋体" w:cs="宋体" w:eastAsia="宋体" w:hAnsi="宋体"/>
          <w:sz w:val="32"/>
          <w:szCs w:val="32"/>
          <w:color w:val="auto"/>
        </w:rPr>
        <w:t>一、评估对象与评估范围说明</w:t>
      </w:r>
    </w:p>
    <w:p>
      <w:pPr>
        <w:spacing w:after="0" w:line="259" w:lineRule="exact"/>
        <w:rPr>
          <w:sz w:val="20"/>
          <w:szCs w:val="20"/>
          <w:color w:val="auto"/>
        </w:rPr>
      </w:pPr>
    </w:p>
    <w:p>
      <w:pPr>
        <w:ind w:left="1000"/>
        <w:spacing w:after="0" w:line="366" w:lineRule="exact"/>
        <w:rPr>
          <w:sz w:val="20"/>
          <w:szCs w:val="20"/>
          <w:color w:val="auto"/>
        </w:rPr>
      </w:pPr>
      <w:r>
        <w:rPr>
          <w:rFonts w:ascii="宋体" w:cs="宋体" w:eastAsia="宋体" w:hAnsi="宋体"/>
          <w:sz w:val="32"/>
          <w:szCs w:val="32"/>
          <w:color w:val="auto"/>
        </w:rPr>
        <w:t>（一）评估对象与评估范围内容</w:t>
      </w:r>
    </w:p>
    <w:p>
      <w:pPr>
        <w:spacing w:after="0" w:line="236" w:lineRule="exact"/>
        <w:rPr>
          <w:sz w:val="20"/>
          <w:szCs w:val="20"/>
          <w:color w:val="auto"/>
        </w:rPr>
      </w:pPr>
    </w:p>
    <w:p>
      <w:pPr>
        <w:ind w:left="1000"/>
        <w:spacing w:after="0" w:line="388" w:lineRule="exact"/>
        <w:rPr>
          <w:sz w:val="20"/>
          <w:szCs w:val="20"/>
          <w:color w:val="auto"/>
        </w:rPr>
      </w:pPr>
      <w:r>
        <w:rPr>
          <w:rFonts w:ascii="Arial" w:cs="Arial" w:eastAsia="Arial" w:hAnsi="Arial"/>
          <w:sz w:val="32"/>
          <w:szCs w:val="32"/>
          <w:color w:val="auto"/>
        </w:rPr>
        <w:t>1</w:t>
      </w:r>
      <w:r>
        <w:rPr>
          <w:rFonts w:ascii="宋体" w:cs="宋体" w:eastAsia="宋体" w:hAnsi="宋体"/>
          <w:sz w:val="32"/>
          <w:szCs w:val="32"/>
          <w:color w:val="auto"/>
        </w:rPr>
        <w:t>．委托评估的评估对象与评估范围。</w:t>
      </w:r>
    </w:p>
    <w:p>
      <w:pPr>
        <w:spacing w:after="0" w:line="236" w:lineRule="exact"/>
        <w:rPr>
          <w:sz w:val="20"/>
          <w:szCs w:val="20"/>
          <w:color w:val="auto"/>
        </w:rPr>
      </w:pPr>
    </w:p>
    <w:p>
      <w:pPr>
        <w:ind w:left="1000"/>
        <w:spacing w:after="0" w:line="388" w:lineRule="exact"/>
        <w:rPr>
          <w:sz w:val="20"/>
          <w:szCs w:val="20"/>
          <w:color w:val="auto"/>
        </w:rPr>
      </w:pPr>
      <w:r>
        <w:rPr>
          <w:rFonts w:ascii="Arial" w:cs="Arial" w:eastAsia="Arial" w:hAnsi="Arial"/>
          <w:sz w:val="32"/>
          <w:szCs w:val="32"/>
          <w:color w:val="auto"/>
        </w:rPr>
        <w:t>2</w:t>
      </w:r>
      <w:r>
        <w:rPr>
          <w:rFonts w:ascii="宋体" w:cs="宋体" w:eastAsia="宋体" w:hAnsi="宋体"/>
          <w:sz w:val="32"/>
          <w:szCs w:val="32"/>
          <w:color w:val="auto"/>
        </w:rPr>
        <w:t>．委托评估的资产类型、账面金额。</w:t>
      </w:r>
    </w:p>
    <w:p>
      <w:pPr>
        <w:spacing w:after="0" w:line="237" w:lineRule="exact"/>
        <w:rPr>
          <w:sz w:val="20"/>
          <w:szCs w:val="20"/>
          <w:color w:val="auto"/>
        </w:rPr>
      </w:pPr>
    </w:p>
    <w:p>
      <w:pPr>
        <w:ind w:left="1000"/>
        <w:spacing w:after="0" w:line="388" w:lineRule="exact"/>
        <w:rPr>
          <w:sz w:val="20"/>
          <w:szCs w:val="20"/>
          <w:color w:val="auto"/>
        </w:rPr>
      </w:pPr>
      <w:r>
        <w:rPr>
          <w:rFonts w:ascii="Arial" w:cs="Arial" w:eastAsia="Arial" w:hAnsi="Arial"/>
          <w:sz w:val="32"/>
          <w:szCs w:val="32"/>
          <w:color w:val="auto"/>
        </w:rPr>
        <w:t>3</w:t>
      </w:r>
      <w:r>
        <w:rPr>
          <w:rFonts w:ascii="宋体" w:cs="宋体" w:eastAsia="宋体" w:hAnsi="宋体"/>
          <w:sz w:val="32"/>
          <w:szCs w:val="32"/>
          <w:color w:val="auto"/>
        </w:rPr>
        <w:t>．委托评估的资产权属状况。</w:t>
      </w:r>
    </w:p>
    <w:p>
      <w:pPr>
        <w:spacing w:after="0" w:line="259" w:lineRule="exact"/>
        <w:rPr>
          <w:sz w:val="20"/>
          <w:szCs w:val="20"/>
          <w:color w:val="auto"/>
        </w:rPr>
      </w:pPr>
    </w:p>
    <w:p>
      <w:pPr>
        <w:ind w:left="1000"/>
        <w:spacing w:after="0" w:line="366" w:lineRule="exact"/>
        <w:rPr>
          <w:sz w:val="20"/>
          <w:szCs w:val="20"/>
          <w:color w:val="auto"/>
        </w:rPr>
      </w:pPr>
      <w:r>
        <w:rPr>
          <w:rFonts w:ascii="宋体" w:cs="宋体" w:eastAsia="宋体" w:hAnsi="宋体"/>
          <w:sz w:val="32"/>
          <w:szCs w:val="32"/>
          <w:color w:val="auto"/>
        </w:rPr>
        <w:t>（二）主要经营资产类型、资产状况。</w:t>
      </w:r>
    </w:p>
    <w:p>
      <w:pPr>
        <w:spacing w:after="0" w:line="259" w:lineRule="exact"/>
        <w:rPr>
          <w:sz w:val="20"/>
          <w:szCs w:val="20"/>
          <w:color w:val="auto"/>
        </w:rPr>
      </w:pPr>
    </w:p>
    <w:p>
      <w:pPr>
        <w:ind w:left="1000"/>
        <w:spacing w:after="0" w:line="366" w:lineRule="exact"/>
        <w:rPr>
          <w:sz w:val="20"/>
          <w:szCs w:val="20"/>
          <w:color w:val="auto"/>
        </w:rPr>
      </w:pPr>
      <w:r>
        <w:rPr>
          <w:rFonts w:ascii="宋体" w:cs="宋体" w:eastAsia="宋体" w:hAnsi="宋体"/>
          <w:sz w:val="32"/>
          <w:szCs w:val="32"/>
          <w:color w:val="auto"/>
        </w:rPr>
        <w:t>（三）主要实物资产的类型、数量及购置方式。</w:t>
      </w:r>
    </w:p>
    <w:p>
      <w:pPr>
        <w:spacing w:after="0" w:line="270" w:lineRule="exact"/>
        <w:rPr>
          <w:sz w:val="20"/>
          <w:szCs w:val="20"/>
          <w:color w:val="auto"/>
        </w:rPr>
      </w:pPr>
    </w:p>
    <w:p>
      <w:pPr>
        <w:ind w:left="1000"/>
        <w:spacing w:after="0" w:line="354" w:lineRule="exact"/>
        <w:rPr>
          <w:sz w:val="20"/>
          <w:szCs w:val="20"/>
          <w:color w:val="auto"/>
        </w:rPr>
      </w:pPr>
      <w:r>
        <w:rPr>
          <w:rFonts w:ascii="宋体" w:cs="宋体" w:eastAsia="宋体" w:hAnsi="宋体"/>
          <w:sz w:val="31"/>
          <w:szCs w:val="31"/>
          <w:color w:val="auto"/>
        </w:rPr>
        <w:t>（四）企业申报的账面记录或者未记录的无形资产情况。</w:t>
      </w:r>
    </w:p>
    <w:p>
      <w:pPr>
        <w:spacing w:after="0" w:line="259" w:lineRule="exact"/>
        <w:rPr>
          <w:sz w:val="20"/>
          <w:szCs w:val="20"/>
          <w:color w:val="auto"/>
        </w:rPr>
      </w:pPr>
    </w:p>
    <w:p>
      <w:pPr>
        <w:ind w:left="1000"/>
        <w:spacing w:after="0" w:line="366" w:lineRule="exact"/>
        <w:rPr>
          <w:sz w:val="20"/>
          <w:szCs w:val="20"/>
          <w:color w:val="auto"/>
        </w:rPr>
      </w:pPr>
      <w:r>
        <w:rPr>
          <w:rFonts w:ascii="宋体" w:cs="宋体" w:eastAsia="宋体" w:hAnsi="宋体"/>
          <w:sz w:val="32"/>
          <w:szCs w:val="32"/>
          <w:color w:val="auto"/>
        </w:rPr>
        <w:t>（五）企业申报的表外业务的类型、数量。</w:t>
      </w:r>
    </w:p>
    <w:p>
      <w:pPr>
        <w:spacing w:after="0" w:line="259" w:lineRule="exact"/>
        <w:rPr>
          <w:sz w:val="20"/>
          <w:szCs w:val="20"/>
          <w:color w:val="auto"/>
        </w:rPr>
      </w:pPr>
    </w:p>
    <w:p>
      <w:pPr>
        <w:ind w:left="1000"/>
        <w:spacing w:after="0" w:line="366" w:lineRule="exact"/>
        <w:rPr>
          <w:sz w:val="20"/>
          <w:szCs w:val="20"/>
          <w:color w:val="auto"/>
        </w:rPr>
      </w:pPr>
      <w:r>
        <w:rPr>
          <w:rFonts w:ascii="宋体" w:cs="宋体" w:eastAsia="宋体" w:hAnsi="宋体"/>
          <w:sz w:val="32"/>
          <w:szCs w:val="32"/>
          <w:color w:val="auto"/>
        </w:rPr>
        <w:t>（六）引用其他机构出具的报告的结论所涉及的资产类</w:t>
      </w:r>
    </w:p>
    <w:p>
      <w:pPr>
        <w:spacing w:after="0" w:line="259"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型、数量和账面金额（或者评估值）。</w:t>
      </w:r>
    </w:p>
    <w:p>
      <w:pPr>
        <w:spacing w:after="0" w:line="259" w:lineRule="exact"/>
        <w:rPr>
          <w:sz w:val="20"/>
          <w:szCs w:val="20"/>
          <w:color w:val="auto"/>
        </w:rPr>
      </w:pPr>
    </w:p>
    <w:p>
      <w:pPr>
        <w:ind w:left="1000"/>
        <w:spacing w:after="0" w:line="366" w:lineRule="exact"/>
        <w:rPr>
          <w:sz w:val="20"/>
          <w:szCs w:val="20"/>
          <w:color w:val="auto"/>
        </w:rPr>
      </w:pPr>
      <w:r>
        <w:rPr>
          <w:rFonts w:ascii="宋体" w:cs="宋体" w:eastAsia="宋体" w:hAnsi="宋体"/>
          <w:sz w:val="32"/>
          <w:szCs w:val="32"/>
          <w:color w:val="auto"/>
        </w:rPr>
        <w:t>单项资产或者资产组合评估，可以根据具体情况确定内</w:t>
      </w:r>
    </w:p>
    <w:p>
      <w:pPr>
        <w:spacing w:after="0" w:line="259"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容的详略程度。</w:t>
      </w:r>
    </w:p>
    <w:p>
      <w:pPr>
        <w:spacing w:after="0" w:line="259" w:lineRule="exact"/>
        <w:rPr>
          <w:sz w:val="20"/>
          <w:szCs w:val="20"/>
          <w:color w:val="auto"/>
        </w:rPr>
      </w:pPr>
    </w:p>
    <w:p>
      <w:pPr>
        <w:ind w:left="1000"/>
        <w:spacing w:after="0" w:line="366" w:lineRule="exact"/>
        <w:rPr>
          <w:sz w:val="20"/>
          <w:szCs w:val="20"/>
          <w:color w:val="auto"/>
        </w:rPr>
      </w:pPr>
      <w:r>
        <w:rPr>
          <w:rFonts w:ascii="宋体" w:cs="宋体" w:eastAsia="宋体" w:hAnsi="宋体"/>
          <w:sz w:val="32"/>
          <w:szCs w:val="32"/>
          <w:color w:val="auto"/>
        </w:rPr>
        <w:t>二、资产核实情况总体说明</w:t>
      </w:r>
    </w:p>
    <w:p>
      <w:pPr>
        <w:spacing w:after="0" w:line="259" w:lineRule="exact"/>
        <w:rPr>
          <w:sz w:val="20"/>
          <w:szCs w:val="20"/>
          <w:color w:val="auto"/>
        </w:rPr>
      </w:pPr>
    </w:p>
    <w:p>
      <w:pPr>
        <w:ind w:left="1000"/>
        <w:spacing w:after="0" w:line="366" w:lineRule="exact"/>
        <w:rPr>
          <w:sz w:val="20"/>
          <w:szCs w:val="20"/>
          <w:color w:val="auto"/>
        </w:rPr>
      </w:pPr>
      <w:r>
        <w:rPr>
          <w:rFonts w:ascii="宋体" w:cs="宋体" w:eastAsia="宋体" w:hAnsi="宋体"/>
          <w:sz w:val="32"/>
          <w:szCs w:val="32"/>
          <w:color w:val="auto"/>
        </w:rPr>
        <w:t>（一）资产核实人员组织、实施时间和过程。</w:t>
      </w:r>
    </w:p>
    <w:p>
      <w:pPr>
        <w:spacing w:after="0" w:line="259" w:lineRule="exact"/>
        <w:rPr>
          <w:sz w:val="20"/>
          <w:szCs w:val="20"/>
          <w:color w:val="auto"/>
        </w:rPr>
      </w:pPr>
    </w:p>
    <w:p>
      <w:pPr>
        <w:ind w:left="1000"/>
        <w:spacing w:after="0" w:line="366" w:lineRule="exact"/>
        <w:rPr>
          <w:sz w:val="20"/>
          <w:szCs w:val="20"/>
          <w:color w:val="auto"/>
        </w:rPr>
      </w:pPr>
      <w:r>
        <w:rPr>
          <w:rFonts w:ascii="宋体" w:cs="宋体" w:eastAsia="宋体" w:hAnsi="宋体"/>
          <w:sz w:val="32"/>
          <w:szCs w:val="32"/>
          <w:color w:val="auto"/>
        </w:rPr>
        <w:t>（二）特殊资产的核实方法</w:t>
      </w:r>
    </w:p>
    <w:p>
      <w:pPr>
        <w:spacing w:after="0" w:line="237" w:lineRule="exact"/>
        <w:rPr>
          <w:sz w:val="20"/>
          <w:szCs w:val="20"/>
          <w:color w:val="auto"/>
        </w:rPr>
      </w:pPr>
    </w:p>
    <w:p>
      <w:pPr>
        <w:ind w:left="1000"/>
        <w:spacing w:after="0" w:line="388" w:lineRule="exact"/>
        <w:rPr>
          <w:sz w:val="20"/>
          <w:szCs w:val="20"/>
          <w:color w:val="auto"/>
        </w:rPr>
      </w:pPr>
      <w:r>
        <w:rPr>
          <w:rFonts w:ascii="Arial" w:cs="Arial" w:eastAsia="Arial" w:hAnsi="Arial"/>
          <w:sz w:val="32"/>
          <w:szCs w:val="32"/>
          <w:color w:val="auto"/>
        </w:rPr>
        <w:t>1</w:t>
      </w:r>
      <w:r>
        <w:rPr>
          <w:rFonts w:ascii="宋体" w:cs="宋体" w:eastAsia="宋体" w:hAnsi="宋体"/>
          <w:sz w:val="32"/>
          <w:szCs w:val="32"/>
          <w:color w:val="auto"/>
        </w:rPr>
        <w:t>．对于网点多、经营地点分散的资产所采取的核实方</w:t>
      </w:r>
    </w:p>
    <w:p>
      <w:pPr>
        <w:spacing w:after="0" w:line="259"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法。</w:t>
      </w:r>
    </w:p>
    <w:p>
      <w:pPr>
        <w:spacing w:after="0" w:line="236" w:lineRule="exact"/>
        <w:rPr>
          <w:sz w:val="20"/>
          <w:szCs w:val="20"/>
          <w:color w:val="auto"/>
        </w:rPr>
      </w:pPr>
    </w:p>
    <w:p>
      <w:pPr>
        <w:ind w:left="1000"/>
        <w:spacing w:after="0" w:line="388" w:lineRule="exact"/>
        <w:rPr>
          <w:sz w:val="20"/>
          <w:szCs w:val="20"/>
          <w:color w:val="auto"/>
        </w:rPr>
      </w:pPr>
      <w:r>
        <w:rPr>
          <w:rFonts w:ascii="Arial" w:cs="Arial" w:eastAsia="Arial" w:hAnsi="Arial"/>
          <w:sz w:val="32"/>
          <w:szCs w:val="32"/>
          <w:color w:val="auto"/>
        </w:rPr>
        <w:t>2</w:t>
      </w:r>
      <w:r>
        <w:rPr>
          <w:rFonts w:ascii="宋体" w:cs="宋体" w:eastAsia="宋体" w:hAnsi="宋体"/>
          <w:sz w:val="32"/>
          <w:szCs w:val="32"/>
          <w:color w:val="auto"/>
        </w:rPr>
        <w:t>．对于经营网络、主要客户等情况所采取的核实方法。</w:t>
      </w:r>
    </w:p>
    <w:p>
      <w:pPr>
        <w:spacing w:after="0" w:line="259" w:lineRule="exact"/>
        <w:rPr>
          <w:sz w:val="20"/>
          <w:szCs w:val="20"/>
          <w:color w:val="auto"/>
        </w:rPr>
      </w:pPr>
    </w:p>
    <w:p>
      <w:pPr>
        <w:ind w:left="1000"/>
        <w:spacing w:after="0" w:line="366" w:lineRule="exact"/>
        <w:rPr>
          <w:sz w:val="20"/>
          <w:szCs w:val="20"/>
          <w:color w:val="auto"/>
        </w:rPr>
      </w:pPr>
      <w:r>
        <w:rPr>
          <w:rFonts w:ascii="宋体" w:cs="宋体" w:eastAsia="宋体" w:hAnsi="宋体"/>
          <w:sz w:val="32"/>
          <w:szCs w:val="32"/>
          <w:color w:val="auto"/>
        </w:rPr>
        <w:t>（三）核实结论</w:t>
      </w:r>
    </w:p>
    <w:p>
      <w:pPr>
        <w:sectPr>
          <w:pgSz w:w="11900" w:h="16838" w:orient="portrait"/>
          <w:cols w:equalWidth="0" w:num="1">
            <w:col w:w="9026"/>
          </w:cols>
          <w:pgMar w:left="1440" w:top="1440" w:right="1440" w:bottom="947" w:gutter="0" w:footer="0" w:header="0"/>
        </w:sectPr>
      </w:pPr>
    </w:p>
    <w:bookmarkStart w:id="30" w:name="page31"/>
    <w:bookmarkEnd w:id="30"/>
    <w:p>
      <w:pPr>
        <w:spacing w:after="0" w:line="81" w:lineRule="exact"/>
        <w:rPr>
          <w:sz w:val="20"/>
          <w:szCs w:val="20"/>
          <w:color w:val="auto"/>
        </w:rPr>
      </w:pPr>
    </w:p>
    <w:p>
      <w:pPr>
        <w:ind w:left="1000"/>
        <w:spacing w:after="0" w:line="388" w:lineRule="exact"/>
        <w:rPr>
          <w:sz w:val="20"/>
          <w:szCs w:val="20"/>
          <w:color w:val="auto"/>
        </w:rPr>
      </w:pPr>
      <w:r>
        <w:rPr>
          <w:rFonts w:ascii="Arial" w:cs="Arial" w:eastAsia="Arial" w:hAnsi="Arial"/>
          <w:sz w:val="32"/>
          <w:szCs w:val="32"/>
          <w:color w:val="auto"/>
        </w:rPr>
        <w:t>1</w:t>
      </w:r>
      <w:r>
        <w:rPr>
          <w:rFonts w:ascii="宋体" w:cs="宋体" w:eastAsia="宋体" w:hAnsi="宋体"/>
          <w:sz w:val="32"/>
          <w:szCs w:val="32"/>
          <w:color w:val="auto"/>
        </w:rPr>
        <w:t>．资产核实结果是否与账面记录存在差异及原因。</w:t>
      </w:r>
    </w:p>
    <w:p>
      <w:pPr>
        <w:spacing w:after="0" w:line="237" w:lineRule="exact"/>
        <w:rPr>
          <w:sz w:val="20"/>
          <w:szCs w:val="20"/>
          <w:color w:val="auto"/>
        </w:rPr>
      </w:pPr>
    </w:p>
    <w:p>
      <w:pPr>
        <w:ind w:left="1000"/>
        <w:spacing w:after="0" w:line="388" w:lineRule="exact"/>
        <w:rPr>
          <w:sz w:val="20"/>
          <w:szCs w:val="20"/>
          <w:color w:val="auto"/>
        </w:rPr>
      </w:pPr>
      <w:r>
        <w:rPr>
          <w:rFonts w:ascii="Arial" w:cs="Arial" w:eastAsia="Arial" w:hAnsi="Arial"/>
          <w:sz w:val="32"/>
          <w:szCs w:val="32"/>
          <w:color w:val="auto"/>
        </w:rPr>
        <w:t>2</w:t>
      </w:r>
      <w:r>
        <w:rPr>
          <w:rFonts w:ascii="宋体" w:cs="宋体" w:eastAsia="宋体" w:hAnsi="宋体"/>
          <w:sz w:val="32"/>
          <w:szCs w:val="32"/>
          <w:color w:val="auto"/>
        </w:rPr>
        <w:t>．权属资料不完善、不清晰的资产核实情况。</w:t>
      </w:r>
    </w:p>
    <w:p>
      <w:pPr>
        <w:spacing w:after="0" w:line="259" w:lineRule="exact"/>
        <w:rPr>
          <w:sz w:val="20"/>
          <w:szCs w:val="20"/>
          <w:color w:val="auto"/>
        </w:rPr>
      </w:pPr>
    </w:p>
    <w:p>
      <w:pPr>
        <w:ind w:left="1000"/>
        <w:spacing w:after="0" w:line="366" w:lineRule="exact"/>
        <w:rPr>
          <w:sz w:val="20"/>
          <w:szCs w:val="20"/>
          <w:color w:val="auto"/>
        </w:rPr>
      </w:pPr>
      <w:r>
        <w:rPr>
          <w:rFonts w:ascii="宋体" w:cs="宋体" w:eastAsia="宋体" w:hAnsi="宋体"/>
          <w:sz w:val="32"/>
          <w:szCs w:val="32"/>
          <w:color w:val="auto"/>
        </w:rPr>
        <w:t>三、资产基础法或者成本法评估技术说明</w:t>
      </w:r>
    </w:p>
    <w:p>
      <w:pPr>
        <w:spacing w:after="0" w:line="259" w:lineRule="exact"/>
        <w:rPr>
          <w:sz w:val="20"/>
          <w:szCs w:val="20"/>
          <w:color w:val="auto"/>
        </w:rPr>
      </w:pPr>
    </w:p>
    <w:p>
      <w:pPr>
        <w:ind w:left="1000"/>
        <w:spacing w:after="0" w:line="366" w:lineRule="exact"/>
        <w:rPr>
          <w:sz w:val="20"/>
          <w:szCs w:val="20"/>
          <w:color w:val="auto"/>
        </w:rPr>
      </w:pPr>
      <w:r>
        <w:rPr>
          <w:rFonts w:ascii="宋体" w:cs="宋体" w:eastAsia="宋体" w:hAnsi="宋体"/>
          <w:sz w:val="32"/>
          <w:szCs w:val="32"/>
          <w:color w:val="auto"/>
        </w:rPr>
        <w:t>采用成本法评估单项资产或者资产组合，采用资产基础</w:t>
      </w:r>
    </w:p>
    <w:p>
      <w:pPr>
        <w:spacing w:after="0" w:line="270" w:lineRule="exact"/>
        <w:rPr>
          <w:sz w:val="20"/>
          <w:szCs w:val="20"/>
          <w:color w:val="auto"/>
        </w:rPr>
      </w:pPr>
    </w:p>
    <w:p>
      <w:pPr>
        <w:jc w:val="center"/>
        <w:ind w:right="6"/>
        <w:spacing w:after="0" w:line="354" w:lineRule="exact"/>
        <w:rPr>
          <w:sz w:val="20"/>
          <w:szCs w:val="20"/>
          <w:color w:val="auto"/>
        </w:rPr>
      </w:pPr>
      <w:r>
        <w:rPr>
          <w:rFonts w:ascii="宋体" w:cs="宋体" w:eastAsia="宋体" w:hAnsi="宋体"/>
          <w:sz w:val="31"/>
          <w:szCs w:val="31"/>
          <w:color w:val="auto"/>
        </w:rPr>
        <w:t>法评估企业价值应当根据评估业务的具体情况，编写评估技</w:t>
      </w:r>
    </w:p>
    <w:p>
      <w:pPr>
        <w:spacing w:after="0" w:line="259"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术说明。各资产负债评估技术说明应当包含资产负债的内容</w:t>
      </w:r>
    </w:p>
    <w:p>
      <w:pPr>
        <w:spacing w:after="0" w:line="259"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和金额、核实方法、评估值确定的方法和结论等基本内容。</w:t>
      </w:r>
    </w:p>
    <w:p>
      <w:pPr>
        <w:spacing w:after="0" w:line="260"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银行、保险公司、证券公司的资产负债项目评估技术说明编</w:t>
      </w:r>
    </w:p>
    <w:p>
      <w:pPr>
        <w:spacing w:after="0" w:line="270" w:lineRule="exact"/>
        <w:rPr>
          <w:sz w:val="20"/>
          <w:szCs w:val="20"/>
          <w:color w:val="auto"/>
        </w:rPr>
      </w:pPr>
    </w:p>
    <w:p>
      <w:pPr>
        <w:ind w:left="360"/>
        <w:spacing w:after="0" w:line="354" w:lineRule="exact"/>
        <w:rPr>
          <w:sz w:val="20"/>
          <w:szCs w:val="20"/>
          <w:color w:val="auto"/>
        </w:rPr>
      </w:pPr>
      <w:r>
        <w:rPr>
          <w:rFonts w:ascii="宋体" w:cs="宋体" w:eastAsia="宋体" w:hAnsi="宋体"/>
          <w:sz w:val="31"/>
          <w:szCs w:val="31"/>
          <w:color w:val="auto"/>
        </w:rPr>
        <w:t>写内容指引如下，其他企业可以参照这几类公司的科目编写。</w:t>
      </w:r>
    </w:p>
    <w:p>
      <w:pPr>
        <w:spacing w:after="0" w:line="259" w:lineRule="exact"/>
        <w:rPr>
          <w:sz w:val="20"/>
          <w:szCs w:val="20"/>
          <w:color w:val="auto"/>
        </w:rPr>
      </w:pPr>
    </w:p>
    <w:p>
      <w:pPr>
        <w:ind w:left="1000"/>
        <w:spacing w:after="0" w:line="366" w:lineRule="exact"/>
        <w:rPr>
          <w:sz w:val="20"/>
          <w:szCs w:val="20"/>
          <w:color w:val="auto"/>
        </w:rPr>
      </w:pPr>
      <w:r>
        <w:rPr>
          <w:rFonts w:ascii="宋体" w:cs="宋体" w:eastAsia="宋体" w:hAnsi="宋体"/>
          <w:sz w:val="32"/>
          <w:szCs w:val="32"/>
          <w:color w:val="auto"/>
        </w:rPr>
        <w:t>资产基础法评估技术说明，主要金融科目及固定资产科</w:t>
      </w:r>
    </w:p>
    <w:p>
      <w:pPr>
        <w:spacing w:after="0" w:line="259"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目均应当列举案例说明评估具体过程。每一科目的评估技术</w:t>
      </w:r>
    </w:p>
    <w:p>
      <w:pPr>
        <w:spacing w:after="0" w:line="259"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说明应当根据项目具体情况确定详略程度。</w:t>
      </w:r>
    </w:p>
    <w:p>
      <w:pPr>
        <w:spacing w:after="0" w:line="236" w:lineRule="exact"/>
        <w:rPr>
          <w:sz w:val="20"/>
          <w:szCs w:val="20"/>
          <w:color w:val="auto"/>
        </w:rPr>
      </w:pPr>
    </w:p>
    <w:p>
      <w:pPr>
        <w:ind w:left="1000"/>
        <w:spacing w:after="0" w:line="388" w:lineRule="exact"/>
        <w:rPr>
          <w:sz w:val="20"/>
          <w:szCs w:val="20"/>
          <w:color w:val="auto"/>
        </w:rPr>
      </w:pPr>
      <w:r>
        <w:rPr>
          <w:rFonts w:ascii="Arial" w:cs="Arial" w:eastAsia="Arial" w:hAnsi="Arial"/>
          <w:sz w:val="32"/>
          <w:szCs w:val="32"/>
          <w:color w:val="auto"/>
        </w:rPr>
        <w:t>(</w:t>
      </w:r>
      <w:r>
        <w:rPr>
          <w:rFonts w:ascii="宋体" w:cs="宋体" w:eastAsia="宋体" w:hAnsi="宋体"/>
          <w:sz w:val="32"/>
          <w:szCs w:val="32"/>
          <w:color w:val="auto"/>
        </w:rPr>
        <w:t>一</w:t>
      </w:r>
      <w:r>
        <w:rPr>
          <w:rFonts w:ascii="Arial" w:cs="Arial" w:eastAsia="Arial" w:hAnsi="Arial"/>
          <w:sz w:val="32"/>
          <w:szCs w:val="32"/>
          <w:color w:val="auto"/>
        </w:rPr>
        <w:t>)</w:t>
      </w:r>
      <w:r>
        <w:rPr>
          <w:rFonts w:ascii="宋体" w:cs="宋体" w:eastAsia="宋体" w:hAnsi="宋体"/>
          <w:sz w:val="32"/>
          <w:szCs w:val="32"/>
          <w:color w:val="auto"/>
        </w:rPr>
        <w:t>银行资产基础法评估技术说明编写内容指引</w:t>
      </w:r>
    </w:p>
    <w:p>
      <w:pPr>
        <w:spacing w:after="0" w:line="237" w:lineRule="exact"/>
        <w:rPr>
          <w:sz w:val="20"/>
          <w:szCs w:val="20"/>
          <w:color w:val="auto"/>
        </w:rPr>
      </w:pPr>
    </w:p>
    <w:p>
      <w:pPr>
        <w:ind w:left="1000"/>
        <w:spacing w:after="0" w:line="388" w:lineRule="exact"/>
        <w:rPr>
          <w:sz w:val="20"/>
          <w:szCs w:val="20"/>
          <w:color w:val="auto"/>
        </w:rPr>
      </w:pPr>
      <w:r>
        <w:rPr>
          <w:rFonts w:ascii="Arial" w:cs="Arial" w:eastAsia="Arial" w:hAnsi="Arial"/>
          <w:sz w:val="32"/>
          <w:szCs w:val="32"/>
          <w:color w:val="auto"/>
        </w:rPr>
        <w:t>1</w:t>
      </w:r>
      <w:r>
        <w:rPr>
          <w:rFonts w:ascii="宋体" w:cs="宋体" w:eastAsia="宋体" w:hAnsi="宋体"/>
          <w:sz w:val="32"/>
          <w:szCs w:val="32"/>
          <w:color w:val="auto"/>
        </w:rPr>
        <w:t>．现金及存放中央银行款项</w:t>
      </w:r>
    </w:p>
    <w:p>
      <w:pPr>
        <w:spacing w:after="0" w:line="236" w:lineRule="exact"/>
        <w:rPr>
          <w:sz w:val="20"/>
          <w:szCs w:val="20"/>
          <w:color w:val="auto"/>
        </w:rPr>
      </w:pPr>
    </w:p>
    <w:p>
      <w:pPr>
        <w:ind w:left="1000"/>
        <w:spacing w:after="0" w:line="388" w:lineRule="exact"/>
        <w:rPr>
          <w:sz w:val="20"/>
          <w:szCs w:val="20"/>
          <w:color w:val="auto"/>
        </w:rPr>
      </w:pPr>
      <w:r>
        <w:rPr>
          <w:rFonts w:ascii="宋体" w:cs="宋体" w:eastAsia="宋体" w:hAnsi="宋体"/>
          <w:sz w:val="32"/>
          <w:szCs w:val="32"/>
          <w:color w:val="auto"/>
        </w:rPr>
        <w:t>（</w:t>
      </w:r>
      <w:r>
        <w:rPr>
          <w:rFonts w:ascii="Arial" w:cs="Arial" w:eastAsia="Arial" w:hAnsi="Arial"/>
          <w:sz w:val="32"/>
          <w:szCs w:val="32"/>
          <w:color w:val="auto"/>
        </w:rPr>
        <w:t>1</w:t>
      </w:r>
      <w:r>
        <w:rPr>
          <w:rFonts w:ascii="宋体" w:cs="宋体" w:eastAsia="宋体" w:hAnsi="宋体"/>
          <w:sz w:val="32"/>
          <w:szCs w:val="32"/>
          <w:color w:val="auto"/>
        </w:rPr>
        <w:t>）现金及存放中央银行款项的内容和金额。</w:t>
      </w:r>
    </w:p>
    <w:p>
      <w:pPr>
        <w:spacing w:after="0" w:line="236" w:lineRule="exact"/>
        <w:rPr>
          <w:sz w:val="20"/>
          <w:szCs w:val="20"/>
          <w:color w:val="auto"/>
        </w:rPr>
      </w:pPr>
    </w:p>
    <w:p>
      <w:pPr>
        <w:ind w:left="1000"/>
        <w:spacing w:after="0" w:line="388" w:lineRule="exact"/>
        <w:rPr>
          <w:sz w:val="20"/>
          <w:szCs w:val="20"/>
          <w:color w:val="auto"/>
        </w:rPr>
      </w:pPr>
      <w:r>
        <w:rPr>
          <w:rFonts w:ascii="宋体" w:cs="宋体" w:eastAsia="宋体" w:hAnsi="宋体"/>
          <w:sz w:val="32"/>
          <w:szCs w:val="32"/>
          <w:color w:val="auto"/>
        </w:rPr>
        <w:t>（</w:t>
      </w:r>
      <w:r>
        <w:rPr>
          <w:rFonts w:ascii="Arial" w:cs="Arial" w:eastAsia="Arial" w:hAnsi="Arial"/>
          <w:sz w:val="32"/>
          <w:szCs w:val="32"/>
          <w:color w:val="auto"/>
        </w:rPr>
        <w:t>2</w:t>
      </w:r>
      <w:r>
        <w:rPr>
          <w:rFonts w:ascii="宋体" w:cs="宋体" w:eastAsia="宋体" w:hAnsi="宋体"/>
          <w:sz w:val="32"/>
          <w:szCs w:val="32"/>
          <w:color w:val="auto"/>
        </w:rPr>
        <w:t>）现金核实的方法和结论。</w:t>
      </w:r>
    </w:p>
    <w:p>
      <w:pPr>
        <w:spacing w:after="0" w:line="236" w:lineRule="exact"/>
        <w:rPr>
          <w:sz w:val="20"/>
          <w:szCs w:val="20"/>
          <w:color w:val="auto"/>
        </w:rPr>
      </w:pPr>
    </w:p>
    <w:p>
      <w:pPr>
        <w:ind w:left="1000"/>
        <w:spacing w:after="0" w:line="388" w:lineRule="exact"/>
        <w:rPr>
          <w:sz w:val="20"/>
          <w:szCs w:val="20"/>
          <w:color w:val="auto"/>
        </w:rPr>
      </w:pPr>
      <w:r>
        <w:rPr>
          <w:rFonts w:ascii="宋体" w:cs="宋体" w:eastAsia="宋体" w:hAnsi="宋体"/>
          <w:sz w:val="32"/>
          <w:szCs w:val="32"/>
          <w:color w:val="auto"/>
        </w:rPr>
        <w:t>（</w:t>
      </w:r>
      <w:r>
        <w:rPr>
          <w:rFonts w:ascii="Arial" w:cs="Arial" w:eastAsia="Arial" w:hAnsi="Arial"/>
          <w:sz w:val="32"/>
          <w:szCs w:val="32"/>
          <w:color w:val="auto"/>
        </w:rPr>
        <w:t>3</w:t>
      </w:r>
      <w:r>
        <w:rPr>
          <w:rFonts w:ascii="宋体" w:cs="宋体" w:eastAsia="宋体" w:hAnsi="宋体"/>
          <w:sz w:val="32"/>
          <w:szCs w:val="32"/>
          <w:color w:val="auto"/>
        </w:rPr>
        <w:t>）存放中央银行款项的金额，评估基准日存款准备</w:t>
      </w:r>
    </w:p>
    <w:p>
      <w:pPr>
        <w:spacing w:after="0" w:line="259"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金率及应存款金额，存款金额是否超出存款准备金标准。</w:t>
      </w:r>
    </w:p>
    <w:p>
      <w:pPr>
        <w:spacing w:after="0" w:line="236" w:lineRule="exact"/>
        <w:rPr>
          <w:sz w:val="20"/>
          <w:szCs w:val="20"/>
          <w:color w:val="auto"/>
        </w:rPr>
      </w:pPr>
    </w:p>
    <w:p>
      <w:pPr>
        <w:ind w:left="1000"/>
        <w:spacing w:after="0" w:line="388" w:lineRule="exact"/>
        <w:rPr>
          <w:sz w:val="20"/>
          <w:szCs w:val="20"/>
          <w:color w:val="auto"/>
        </w:rPr>
      </w:pPr>
      <w:r>
        <w:rPr>
          <w:rFonts w:ascii="宋体" w:cs="宋体" w:eastAsia="宋体" w:hAnsi="宋体"/>
          <w:sz w:val="32"/>
          <w:szCs w:val="32"/>
          <w:color w:val="auto"/>
        </w:rPr>
        <w:t>（</w:t>
      </w:r>
      <w:r>
        <w:rPr>
          <w:rFonts w:ascii="Arial" w:cs="Arial" w:eastAsia="Arial" w:hAnsi="Arial"/>
          <w:sz w:val="32"/>
          <w:szCs w:val="32"/>
          <w:color w:val="auto"/>
        </w:rPr>
        <w:t>4</w:t>
      </w:r>
      <w:r>
        <w:rPr>
          <w:rFonts w:ascii="宋体" w:cs="宋体" w:eastAsia="宋体" w:hAnsi="宋体"/>
          <w:sz w:val="32"/>
          <w:szCs w:val="32"/>
          <w:color w:val="auto"/>
        </w:rPr>
        <w:t>）查验中央银行存款对账单、余额调节表的情况，</w:t>
      </w:r>
    </w:p>
    <w:p>
      <w:pPr>
        <w:spacing w:after="0" w:line="260"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函证情况，以及评估基准日执行的利率标准。</w:t>
      </w:r>
    </w:p>
    <w:p>
      <w:pPr>
        <w:spacing w:after="0" w:line="236" w:lineRule="exact"/>
        <w:rPr>
          <w:sz w:val="20"/>
          <w:szCs w:val="20"/>
          <w:color w:val="auto"/>
        </w:rPr>
      </w:pPr>
    </w:p>
    <w:p>
      <w:pPr>
        <w:ind w:left="1000"/>
        <w:spacing w:after="0" w:line="388" w:lineRule="exact"/>
        <w:rPr>
          <w:sz w:val="20"/>
          <w:szCs w:val="20"/>
          <w:color w:val="auto"/>
        </w:rPr>
      </w:pPr>
      <w:r>
        <w:rPr>
          <w:rFonts w:ascii="宋体" w:cs="宋体" w:eastAsia="宋体" w:hAnsi="宋体"/>
          <w:sz w:val="32"/>
          <w:szCs w:val="32"/>
          <w:color w:val="auto"/>
        </w:rPr>
        <w:t>（</w:t>
      </w:r>
      <w:r>
        <w:rPr>
          <w:rFonts w:ascii="Arial" w:cs="Arial" w:eastAsia="Arial" w:hAnsi="Arial"/>
          <w:sz w:val="32"/>
          <w:szCs w:val="32"/>
          <w:color w:val="auto"/>
        </w:rPr>
        <w:t>5</w:t>
      </w:r>
      <w:r>
        <w:rPr>
          <w:rFonts w:ascii="宋体" w:cs="宋体" w:eastAsia="宋体" w:hAnsi="宋体"/>
          <w:sz w:val="32"/>
          <w:szCs w:val="32"/>
          <w:color w:val="auto"/>
        </w:rPr>
        <w:t>）现金及存放中央银行款项评估值的确定方法和结</w:t>
      </w:r>
    </w:p>
    <w:p>
      <w:pPr>
        <w:spacing w:after="0" w:line="259"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论。</w:t>
      </w:r>
    </w:p>
    <w:p>
      <w:pPr>
        <w:sectPr>
          <w:pgSz w:w="11900" w:h="16838" w:orient="portrait"/>
          <w:cols w:equalWidth="0" w:num="1">
            <w:col w:w="9026"/>
          </w:cols>
          <w:pgMar w:left="1440" w:top="1440" w:right="1440" w:bottom="1440" w:gutter="0" w:footer="0" w:header="0"/>
        </w:sectPr>
      </w:pPr>
    </w:p>
    <w:bookmarkStart w:id="31" w:name="page32"/>
    <w:bookmarkEnd w:id="31"/>
    <w:p>
      <w:pPr>
        <w:spacing w:after="0" w:line="81" w:lineRule="exact"/>
        <w:rPr>
          <w:sz w:val="20"/>
          <w:szCs w:val="20"/>
          <w:color w:val="auto"/>
        </w:rPr>
      </w:pPr>
    </w:p>
    <w:p>
      <w:pPr>
        <w:ind w:left="1000"/>
        <w:spacing w:after="0" w:line="388" w:lineRule="exact"/>
        <w:rPr>
          <w:sz w:val="20"/>
          <w:szCs w:val="20"/>
          <w:color w:val="auto"/>
        </w:rPr>
      </w:pPr>
      <w:r>
        <w:rPr>
          <w:rFonts w:ascii="Arial" w:cs="Arial" w:eastAsia="Arial" w:hAnsi="Arial"/>
          <w:sz w:val="32"/>
          <w:szCs w:val="32"/>
          <w:color w:val="auto"/>
        </w:rPr>
        <w:t>2.</w:t>
      </w:r>
      <w:r>
        <w:rPr>
          <w:rFonts w:ascii="宋体" w:cs="宋体" w:eastAsia="宋体" w:hAnsi="宋体"/>
          <w:sz w:val="32"/>
          <w:szCs w:val="32"/>
          <w:color w:val="auto"/>
        </w:rPr>
        <w:t>存放同业款项</w:t>
      </w:r>
    </w:p>
    <w:p>
      <w:pPr>
        <w:spacing w:after="0" w:line="237" w:lineRule="exact"/>
        <w:rPr>
          <w:sz w:val="20"/>
          <w:szCs w:val="20"/>
          <w:color w:val="auto"/>
        </w:rPr>
      </w:pPr>
    </w:p>
    <w:p>
      <w:pPr>
        <w:ind w:left="1000"/>
        <w:spacing w:after="0" w:line="388" w:lineRule="exact"/>
        <w:rPr>
          <w:sz w:val="20"/>
          <w:szCs w:val="20"/>
          <w:color w:val="auto"/>
        </w:rPr>
      </w:pPr>
      <w:r>
        <w:rPr>
          <w:rFonts w:ascii="宋体" w:cs="宋体" w:eastAsia="宋体" w:hAnsi="宋体"/>
          <w:sz w:val="32"/>
          <w:szCs w:val="32"/>
          <w:color w:val="auto"/>
        </w:rPr>
        <w:t>（</w:t>
      </w:r>
      <w:r>
        <w:rPr>
          <w:rFonts w:ascii="Arial" w:cs="Arial" w:eastAsia="Arial" w:hAnsi="Arial"/>
          <w:sz w:val="32"/>
          <w:szCs w:val="32"/>
          <w:color w:val="auto"/>
        </w:rPr>
        <w:t>1</w:t>
      </w:r>
      <w:r>
        <w:rPr>
          <w:rFonts w:ascii="宋体" w:cs="宋体" w:eastAsia="宋体" w:hAnsi="宋体"/>
          <w:sz w:val="32"/>
          <w:szCs w:val="32"/>
          <w:color w:val="auto"/>
        </w:rPr>
        <w:t>）存放同业款项账面金额、存款利率。</w:t>
      </w:r>
    </w:p>
    <w:p>
      <w:pPr>
        <w:spacing w:after="0" w:line="236" w:lineRule="exact"/>
        <w:rPr>
          <w:sz w:val="20"/>
          <w:szCs w:val="20"/>
          <w:color w:val="auto"/>
        </w:rPr>
      </w:pPr>
    </w:p>
    <w:p>
      <w:pPr>
        <w:ind w:left="1000"/>
        <w:spacing w:after="0" w:line="388" w:lineRule="exact"/>
        <w:rPr>
          <w:sz w:val="20"/>
          <w:szCs w:val="20"/>
          <w:color w:val="auto"/>
        </w:rPr>
      </w:pPr>
      <w:r>
        <w:rPr>
          <w:rFonts w:ascii="宋体" w:cs="宋体" w:eastAsia="宋体" w:hAnsi="宋体"/>
          <w:sz w:val="32"/>
          <w:szCs w:val="32"/>
          <w:color w:val="auto"/>
        </w:rPr>
        <w:t>（</w:t>
      </w:r>
      <w:r>
        <w:rPr>
          <w:rFonts w:ascii="Arial" w:cs="Arial" w:eastAsia="Arial" w:hAnsi="Arial"/>
          <w:sz w:val="32"/>
          <w:szCs w:val="32"/>
          <w:color w:val="auto"/>
        </w:rPr>
        <w:t>2</w:t>
      </w:r>
      <w:r>
        <w:rPr>
          <w:rFonts w:ascii="宋体" w:cs="宋体" w:eastAsia="宋体" w:hAnsi="宋体"/>
          <w:sz w:val="32"/>
          <w:szCs w:val="32"/>
          <w:color w:val="auto"/>
        </w:rPr>
        <w:t>）存款进行函证情况，不正常的未达账项情况。</w:t>
      </w:r>
    </w:p>
    <w:p>
      <w:pPr>
        <w:spacing w:after="0" w:line="236" w:lineRule="exact"/>
        <w:rPr>
          <w:sz w:val="20"/>
          <w:szCs w:val="20"/>
          <w:color w:val="auto"/>
        </w:rPr>
      </w:pPr>
    </w:p>
    <w:p>
      <w:pPr>
        <w:ind w:left="1000"/>
        <w:spacing w:after="0" w:line="388" w:lineRule="exact"/>
        <w:rPr>
          <w:sz w:val="20"/>
          <w:szCs w:val="20"/>
          <w:color w:val="auto"/>
        </w:rPr>
      </w:pPr>
      <w:r>
        <w:rPr>
          <w:rFonts w:ascii="宋体" w:cs="宋体" w:eastAsia="宋体" w:hAnsi="宋体"/>
          <w:sz w:val="32"/>
          <w:szCs w:val="32"/>
          <w:color w:val="auto"/>
        </w:rPr>
        <w:t>（</w:t>
      </w:r>
      <w:r>
        <w:rPr>
          <w:rFonts w:ascii="Arial" w:cs="Arial" w:eastAsia="Arial" w:hAnsi="Arial"/>
          <w:sz w:val="32"/>
          <w:szCs w:val="32"/>
          <w:color w:val="auto"/>
        </w:rPr>
        <w:t>3</w:t>
      </w:r>
      <w:r>
        <w:rPr>
          <w:rFonts w:ascii="宋体" w:cs="宋体" w:eastAsia="宋体" w:hAnsi="宋体"/>
          <w:sz w:val="32"/>
          <w:szCs w:val="32"/>
          <w:color w:val="auto"/>
        </w:rPr>
        <w:t>）存放同业款项评估值的确定方法和结论。</w:t>
      </w:r>
    </w:p>
    <w:p>
      <w:pPr>
        <w:spacing w:after="0" w:line="236" w:lineRule="exact"/>
        <w:rPr>
          <w:sz w:val="20"/>
          <w:szCs w:val="20"/>
          <w:color w:val="auto"/>
        </w:rPr>
      </w:pPr>
    </w:p>
    <w:p>
      <w:pPr>
        <w:ind w:left="1000"/>
        <w:spacing w:after="0" w:line="388" w:lineRule="exact"/>
        <w:rPr>
          <w:sz w:val="20"/>
          <w:szCs w:val="20"/>
          <w:color w:val="auto"/>
        </w:rPr>
      </w:pPr>
      <w:r>
        <w:rPr>
          <w:rFonts w:ascii="Arial" w:cs="Arial" w:eastAsia="Arial" w:hAnsi="Arial"/>
          <w:sz w:val="32"/>
          <w:szCs w:val="32"/>
          <w:color w:val="auto"/>
        </w:rPr>
        <w:t>3.</w:t>
      </w:r>
      <w:r>
        <w:rPr>
          <w:rFonts w:ascii="宋体" w:cs="宋体" w:eastAsia="宋体" w:hAnsi="宋体"/>
          <w:sz w:val="32"/>
          <w:szCs w:val="32"/>
          <w:color w:val="auto"/>
        </w:rPr>
        <w:t>贵金属</w:t>
      </w:r>
    </w:p>
    <w:p>
      <w:pPr>
        <w:spacing w:after="0" w:line="236" w:lineRule="exact"/>
        <w:rPr>
          <w:sz w:val="20"/>
          <w:szCs w:val="20"/>
          <w:color w:val="auto"/>
        </w:rPr>
      </w:pPr>
    </w:p>
    <w:p>
      <w:pPr>
        <w:ind w:left="1000"/>
        <w:spacing w:after="0" w:line="388" w:lineRule="exact"/>
        <w:rPr>
          <w:sz w:val="20"/>
          <w:szCs w:val="20"/>
          <w:color w:val="auto"/>
        </w:rPr>
      </w:pPr>
      <w:r>
        <w:rPr>
          <w:rFonts w:ascii="宋体" w:cs="宋体" w:eastAsia="宋体" w:hAnsi="宋体"/>
          <w:sz w:val="32"/>
          <w:szCs w:val="32"/>
          <w:color w:val="auto"/>
        </w:rPr>
        <w:t>（</w:t>
      </w:r>
      <w:r>
        <w:rPr>
          <w:rFonts w:ascii="Arial" w:cs="Arial" w:eastAsia="Arial" w:hAnsi="Arial"/>
          <w:sz w:val="32"/>
          <w:szCs w:val="32"/>
          <w:color w:val="auto"/>
        </w:rPr>
        <w:t>1</w:t>
      </w:r>
      <w:r>
        <w:rPr>
          <w:rFonts w:ascii="宋体" w:cs="宋体" w:eastAsia="宋体" w:hAnsi="宋体"/>
          <w:sz w:val="32"/>
          <w:szCs w:val="32"/>
          <w:color w:val="auto"/>
        </w:rPr>
        <w:t>）贵金属的种类、规格、重量以及保管方式。</w:t>
      </w:r>
    </w:p>
    <w:p>
      <w:pPr>
        <w:spacing w:after="0" w:line="236" w:lineRule="exact"/>
        <w:rPr>
          <w:sz w:val="20"/>
          <w:szCs w:val="20"/>
          <w:color w:val="auto"/>
        </w:rPr>
      </w:pPr>
    </w:p>
    <w:p>
      <w:pPr>
        <w:ind w:left="1000"/>
        <w:spacing w:after="0" w:line="388" w:lineRule="exact"/>
        <w:rPr>
          <w:sz w:val="20"/>
          <w:szCs w:val="20"/>
          <w:color w:val="auto"/>
        </w:rPr>
      </w:pPr>
      <w:r>
        <w:rPr>
          <w:rFonts w:ascii="宋体" w:cs="宋体" w:eastAsia="宋体" w:hAnsi="宋体"/>
          <w:sz w:val="32"/>
          <w:szCs w:val="32"/>
          <w:color w:val="auto"/>
        </w:rPr>
        <w:t>（</w:t>
      </w:r>
      <w:r>
        <w:rPr>
          <w:rFonts w:ascii="Arial" w:cs="Arial" w:eastAsia="Arial" w:hAnsi="Arial"/>
          <w:sz w:val="32"/>
          <w:szCs w:val="32"/>
          <w:color w:val="auto"/>
        </w:rPr>
        <w:t>2</w:t>
      </w:r>
      <w:r>
        <w:rPr>
          <w:rFonts w:ascii="宋体" w:cs="宋体" w:eastAsia="宋体" w:hAnsi="宋体"/>
          <w:sz w:val="32"/>
          <w:szCs w:val="32"/>
          <w:color w:val="auto"/>
        </w:rPr>
        <w:t>）贵金属的盘点方法。</w:t>
      </w:r>
    </w:p>
    <w:p>
      <w:pPr>
        <w:spacing w:after="0" w:line="237" w:lineRule="exact"/>
        <w:rPr>
          <w:sz w:val="20"/>
          <w:szCs w:val="20"/>
          <w:color w:val="auto"/>
        </w:rPr>
      </w:pPr>
    </w:p>
    <w:p>
      <w:pPr>
        <w:ind w:left="1000"/>
        <w:spacing w:after="0" w:line="388" w:lineRule="exact"/>
        <w:rPr>
          <w:sz w:val="20"/>
          <w:szCs w:val="20"/>
          <w:color w:val="auto"/>
        </w:rPr>
      </w:pPr>
      <w:r>
        <w:rPr>
          <w:rFonts w:ascii="宋体" w:cs="宋体" w:eastAsia="宋体" w:hAnsi="宋体"/>
          <w:sz w:val="32"/>
          <w:szCs w:val="32"/>
          <w:color w:val="auto"/>
        </w:rPr>
        <w:t>（</w:t>
      </w:r>
      <w:r>
        <w:rPr>
          <w:rFonts w:ascii="Arial" w:cs="Arial" w:eastAsia="Arial" w:hAnsi="Arial"/>
          <w:sz w:val="32"/>
          <w:szCs w:val="32"/>
          <w:color w:val="auto"/>
        </w:rPr>
        <w:t>3</w:t>
      </w:r>
      <w:r>
        <w:rPr>
          <w:rFonts w:ascii="宋体" w:cs="宋体" w:eastAsia="宋体" w:hAnsi="宋体"/>
          <w:sz w:val="32"/>
          <w:szCs w:val="32"/>
          <w:color w:val="auto"/>
        </w:rPr>
        <w:t>）贵金属评估值的确定方法和结论。</w:t>
      </w:r>
    </w:p>
    <w:p>
      <w:pPr>
        <w:spacing w:after="0" w:line="236" w:lineRule="exact"/>
        <w:rPr>
          <w:sz w:val="20"/>
          <w:szCs w:val="20"/>
          <w:color w:val="auto"/>
        </w:rPr>
      </w:pPr>
    </w:p>
    <w:p>
      <w:pPr>
        <w:ind w:left="1000"/>
        <w:spacing w:after="0" w:line="388" w:lineRule="exact"/>
        <w:rPr>
          <w:sz w:val="20"/>
          <w:szCs w:val="20"/>
          <w:color w:val="auto"/>
        </w:rPr>
      </w:pPr>
      <w:r>
        <w:rPr>
          <w:rFonts w:ascii="Arial" w:cs="Arial" w:eastAsia="Arial" w:hAnsi="Arial"/>
          <w:sz w:val="32"/>
          <w:szCs w:val="32"/>
          <w:color w:val="auto"/>
        </w:rPr>
        <w:t>4.</w:t>
      </w:r>
      <w:r>
        <w:rPr>
          <w:rFonts w:ascii="宋体" w:cs="宋体" w:eastAsia="宋体" w:hAnsi="宋体"/>
          <w:sz w:val="32"/>
          <w:szCs w:val="32"/>
          <w:color w:val="auto"/>
        </w:rPr>
        <w:t>拆出资金</w:t>
      </w:r>
    </w:p>
    <w:p>
      <w:pPr>
        <w:spacing w:after="0" w:line="236" w:lineRule="exact"/>
        <w:rPr>
          <w:sz w:val="20"/>
          <w:szCs w:val="20"/>
          <w:color w:val="auto"/>
        </w:rPr>
      </w:pPr>
    </w:p>
    <w:p>
      <w:pPr>
        <w:ind w:left="1000"/>
        <w:spacing w:after="0" w:line="388" w:lineRule="exact"/>
        <w:rPr>
          <w:sz w:val="20"/>
          <w:szCs w:val="20"/>
          <w:color w:val="auto"/>
        </w:rPr>
      </w:pPr>
      <w:r>
        <w:rPr>
          <w:rFonts w:ascii="宋体" w:cs="宋体" w:eastAsia="宋体" w:hAnsi="宋体"/>
          <w:sz w:val="32"/>
          <w:szCs w:val="32"/>
          <w:color w:val="auto"/>
        </w:rPr>
        <w:t>（</w:t>
      </w:r>
      <w:r>
        <w:rPr>
          <w:rFonts w:ascii="Arial" w:cs="Arial" w:eastAsia="Arial" w:hAnsi="Arial"/>
          <w:sz w:val="32"/>
          <w:szCs w:val="32"/>
          <w:color w:val="auto"/>
        </w:rPr>
        <w:t>1</w:t>
      </w:r>
      <w:r>
        <w:rPr>
          <w:rFonts w:ascii="宋体" w:cs="宋体" w:eastAsia="宋体" w:hAnsi="宋体"/>
          <w:sz w:val="32"/>
          <w:szCs w:val="32"/>
          <w:color w:val="auto"/>
        </w:rPr>
        <w:t>）拆出资金账面金额、拆借银行、拆借利率、拆借</w:t>
      </w:r>
    </w:p>
    <w:p>
      <w:pPr>
        <w:spacing w:after="0" w:line="259"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期限。</w:t>
      </w:r>
    </w:p>
    <w:p>
      <w:pPr>
        <w:spacing w:after="0" w:line="236" w:lineRule="exact"/>
        <w:rPr>
          <w:sz w:val="20"/>
          <w:szCs w:val="20"/>
          <w:color w:val="auto"/>
        </w:rPr>
      </w:pPr>
    </w:p>
    <w:p>
      <w:pPr>
        <w:ind w:left="1000"/>
        <w:spacing w:after="0" w:line="388" w:lineRule="exact"/>
        <w:rPr>
          <w:sz w:val="20"/>
          <w:szCs w:val="20"/>
          <w:color w:val="auto"/>
        </w:rPr>
      </w:pPr>
      <w:r>
        <w:rPr>
          <w:rFonts w:ascii="宋体" w:cs="宋体" w:eastAsia="宋体" w:hAnsi="宋体"/>
          <w:sz w:val="32"/>
          <w:szCs w:val="32"/>
          <w:color w:val="auto"/>
        </w:rPr>
        <w:t>（</w:t>
      </w:r>
      <w:r>
        <w:rPr>
          <w:rFonts w:ascii="Arial" w:cs="Arial" w:eastAsia="Arial" w:hAnsi="Arial"/>
          <w:sz w:val="32"/>
          <w:szCs w:val="32"/>
          <w:color w:val="auto"/>
        </w:rPr>
        <w:t>2</w:t>
      </w:r>
      <w:r>
        <w:rPr>
          <w:rFonts w:ascii="宋体" w:cs="宋体" w:eastAsia="宋体" w:hAnsi="宋体"/>
          <w:sz w:val="32"/>
          <w:szCs w:val="32"/>
          <w:color w:val="auto"/>
        </w:rPr>
        <w:t>）拆出资金函证情况。</w:t>
      </w:r>
    </w:p>
    <w:p>
      <w:pPr>
        <w:spacing w:after="0" w:line="236" w:lineRule="exact"/>
        <w:rPr>
          <w:sz w:val="20"/>
          <w:szCs w:val="20"/>
          <w:color w:val="auto"/>
        </w:rPr>
      </w:pPr>
    </w:p>
    <w:p>
      <w:pPr>
        <w:ind w:left="1000"/>
        <w:spacing w:after="0" w:line="388" w:lineRule="exact"/>
        <w:rPr>
          <w:sz w:val="20"/>
          <w:szCs w:val="20"/>
          <w:color w:val="auto"/>
        </w:rPr>
      </w:pPr>
      <w:r>
        <w:rPr>
          <w:rFonts w:ascii="宋体" w:cs="宋体" w:eastAsia="宋体" w:hAnsi="宋体"/>
          <w:sz w:val="32"/>
          <w:szCs w:val="32"/>
          <w:color w:val="auto"/>
        </w:rPr>
        <w:t>（</w:t>
      </w:r>
      <w:r>
        <w:rPr>
          <w:rFonts w:ascii="Arial" w:cs="Arial" w:eastAsia="Arial" w:hAnsi="Arial"/>
          <w:sz w:val="32"/>
          <w:szCs w:val="32"/>
          <w:color w:val="auto"/>
        </w:rPr>
        <w:t>3</w:t>
      </w:r>
      <w:r>
        <w:rPr>
          <w:rFonts w:ascii="宋体" w:cs="宋体" w:eastAsia="宋体" w:hAnsi="宋体"/>
          <w:sz w:val="32"/>
          <w:szCs w:val="32"/>
          <w:color w:val="auto"/>
        </w:rPr>
        <w:t>）拆出资金评估值的确定方法和结论。</w:t>
      </w:r>
    </w:p>
    <w:p>
      <w:pPr>
        <w:spacing w:after="0" w:line="237" w:lineRule="exact"/>
        <w:rPr>
          <w:sz w:val="20"/>
          <w:szCs w:val="20"/>
          <w:color w:val="auto"/>
        </w:rPr>
      </w:pPr>
    </w:p>
    <w:p>
      <w:pPr>
        <w:ind w:left="1000"/>
        <w:spacing w:after="0" w:line="388" w:lineRule="exact"/>
        <w:rPr>
          <w:sz w:val="20"/>
          <w:szCs w:val="20"/>
          <w:color w:val="auto"/>
        </w:rPr>
      </w:pPr>
      <w:r>
        <w:rPr>
          <w:rFonts w:ascii="Arial" w:cs="Arial" w:eastAsia="Arial" w:hAnsi="Arial"/>
          <w:sz w:val="32"/>
          <w:szCs w:val="32"/>
          <w:color w:val="auto"/>
        </w:rPr>
        <w:t>5.</w:t>
      </w:r>
      <w:r>
        <w:rPr>
          <w:rFonts w:ascii="宋体" w:cs="宋体" w:eastAsia="宋体" w:hAnsi="宋体"/>
          <w:sz w:val="32"/>
          <w:szCs w:val="32"/>
          <w:color w:val="auto"/>
        </w:rPr>
        <w:t>交易性金融资产</w:t>
      </w:r>
    </w:p>
    <w:p>
      <w:pPr>
        <w:spacing w:after="0" w:line="236" w:lineRule="exact"/>
        <w:rPr>
          <w:sz w:val="20"/>
          <w:szCs w:val="20"/>
          <w:color w:val="auto"/>
        </w:rPr>
      </w:pPr>
    </w:p>
    <w:p>
      <w:pPr>
        <w:ind w:left="1000"/>
        <w:spacing w:after="0" w:line="388" w:lineRule="exact"/>
        <w:rPr>
          <w:sz w:val="20"/>
          <w:szCs w:val="20"/>
          <w:color w:val="auto"/>
        </w:rPr>
      </w:pPr>
      <w:r>
        <w:rPr>
          <w:rFonts w:ascii="宋体" w:cs="宋体" w:eastAsia="宋体" w:hAnsi="宋体"/>
          <w:sz w:val="32"/>
          <w:szCs w:val="32"/>
          <w:color w:val="auto"/>
        </w:rPr>
        <w:t>（</w:t>
      </w:r>
      <w:r>
        <w:rPr>
          <w:rFonts w:ascii="Arial" w:cs="Arial" w:eastAsia="Arial" w:hAnsi="Arial"/>
          <w:sz w:val="32"/>
          <w:szCs w:val="32"/>
          <w:color w:val="auto"/>
        </w:rPr>
        <w:t>1</w:t>
      </w:r>
      <w:r>
        <w:rPr>
          <w:rFonts w:ascii="宋体" w:cs="宋体" w:eastAsia="宋体" w:hAnsi="宋体"/>
          <w:sz w:val="32"/>
          <w:szCs w:val="32"/>
          <w:color w:val="auto"/>
        </w:rPr>
        <w:t>）交易性金融资产的种类、账面金额。</w:t>
      </w:r>
    </w:p>
    <w:p>
      <w:pPr>
        <w:spacing w:after="0" w:line="236" w:lineRule="exact"/>
        <w:rPr>
          <w:sz w:val="20"/>
          <w:szCs w:val="20"/>
          <w:color w:val="auto"/>
        </w:rPr>
      </w:pPr>
    </w:p>
    <w:p>
      <w:pPr>
        <w:ind w:left="1000"/>
        <w:spacing w:after="0" w:line="388" w:lineRule="exact"/>
        <w:rPr>
          <w:sz w:val="20"/>
          <w:szCs w:val="20"/>
          <w:color w:val="auto"/>
        </w:rPr>
      </w:pPr>
      <w:r>
        <w:rPr>
          <w:rFonts w:ascii="宋体" w:cs="宋体" w:eastAsia="宋体" w:hAnsi="宋体"/>
          <w:sz w:val="32"/>
          <w:szCs w:val="32"/>
          <w:color w:val="auto"/>
        </w:rPr>
        <w:t>（</w:t>
      </w:r>
      <w:r>
        <w:rPr>
          <w:rFonts w:ascii="Arial" w:cs="Arial" w:eastAsia="Arial" w:hAnsi="Arial"/>
          <w:sz w:val="32"/>
          <w:szCs w:val="32"/>
          <w:color w:val="auto"/>
        </w:rPr>
        <w:t>2</w:t>
      </w:r>
      <w:r>
        <w:rPr>
          <w:rFonts w:ascii="宋体" w:cs="宋体" w:eastAsia="宋体" w:hAnsi="宋体"/>
          <w:sz w:val="32"/>
          <w:szCs w:val="32"/>
          <w:color w:val="auto"/>
        </w:rPr>
        <w:t>）交易性金融资产核实的方法和结论。</w:t>
      </w:r>
    </w:p>
    <w:p>
      <w:pPr>
        <w:spacing w:after="0" w:line="236" w:lineRule="exact"/>
        <w:rPr>
          <w:sz w:val="20"/>
          <w:szCs w:val="20"/>
          <w:color w:val="auto"/>
        </w:rPr>
      </w:pPr>
    </w:p>
    <w:p>
      <w:pPr>
        <w:ind w:left="1000"/>
        <w:spacing w:after="0" w:line="388" w:lineRule="exact"/>
        <w:rPr>
          <w:sz w:val="20"/>
          <w:szCs w:val="20"/>
          <w:color w:val="auto"/>
        </w:rPr>
      </w:pPr>
      <w:r>
        <w:rPr>
          <w:rFonts w:ascii="宋体" w:cs="宋体" w:eastAsia="宋体" w:hAnsi="宋体"/>
          <w:sz w:val="32"/>
          <w:szCs w:val="32"/>
          <w:color w:val="auto"/>
        </w:rPr>
        <w:t>（</w:t>
      </w:r>
      <w:r>
        <w:rPr>
          <w:rFonts w:ascii="Arial" w:cs="Arial" w:eastAsia="Arial" w:hAnsi="Arial"/>
          <w:sz w:val="32"/>
          <w:szCs w:val="32"/>
          <w:color w:val="auto"/>
        </w:rPr>
        <w:t>3</w:t>
      </w:r>
      <w:r>
        <w:rPr>
          <w:rFonts w:ascii="宋体" w:cs="宋体" w:eastAsia="宋体" w:hAnsi="宋体"/>
          <w:sz w:val="32"/>
          <w:szCs w:val="32"/>
          <w:color w:val="auto"/>
        </w:rPr>
        <w:t>）交易性金融资产评估值的确定方法和结论。</w:t>
      </w:r>
    </w:p>
    <w:p>
      <w:pPr>
        <w:spacing w:after="0" w:line="236" w:lineRule="exact"/>
        <w:rPr>
          <w:sz w:val="20"/>
          <w:szCs w:val="20"/>
          <w:color w:val="auto"/>
        </w:rPr>
      </w:pPr>
    </w:p>
    <w:p>
      <w:pPr>
        <w:ind w:left="1000"/>
        <w:spacing w:after="0" w:line="388" w:lineRule="exact"/>
        <w:rPr>
          <w:sz w:val="20"/>
          <w:szCs w:val="20"/>
          <w:color w:val="auto"/>
        </w:rPr>
      </w:pPr>
      <w:r>
        <w:rPr>
          <w:rFonts w:ascii="Arial" w:cs="Arial" w:eastAsia="Arial" w:hAnsi="Arial"/>
          <w:sz w:val="32"/>
          <w:szCs w:val="32"/>
          <w:color w:val="auto"/>
        </w:rPr>
        <w:t>6.</w:t>
      </w:r>
      <w:r>
        <w:rPr>
          <w:rFonts w:ascii="宋体" w:cs="宋体" w:eastAsia="宋体" w:hAnsi="宋体"/>
          <w:sz w:val="32"/>
          <w:szCs w:val="32"/>
          <w:color w:val="auto"/>
        </w:rPr>
        <w:t>衍生金融资产</w:t>
      </w:r>
    </w:p>
    <w:p>
      <w:pPr>
        <w:spacing w:after="0" w:line="236" w:lineRule="exact"/>
        <w:rPr>
          <w:sz w:val="20"/>
          <w:szCs w:val="20"/>
          <w:color w:val="auto"/>
        </w:rPr>
      </w:pPr>
    </w:p>
    <w:p>
      <w:pPr>
        <w:ind w:left="1000"/>
        <w:spacing w:after="0" w:line="388" w:lineRule="exact"/>
        <w:rPr>
          <w:sz w:val="20"/>
          <w:szCs w:val="20"/>
          <w:color w:val="auto"/>
        </w:rPr>
      </w:pPr>
      <w:r>
        <w:rPr>
          <w:rFonts w:ascii="宋体" w:cs="宋体" w:eastAsia="宋体" w:hAnsi="宋体"/>
          <w:sz w:val="32"/>
          <w:szCs w:val="32"/>
          <w:color w:val="auto"/>
        </w:rPr>
        <w:t>（</w:t>
      </w:r>
      <w:r>
        <w:rPr>
          <w:rFonts w:ascii="Arial" w:cs="Arial" w:eastAsia="Arial" w:hAnsi="Arial"/>
          <w:sz w:val="32"/>
          <w:szCs w:val="32"/>
          <w:color w:val="auto"/>
        </w:rPr>
        <w:t>1</w:t>
      </w:r>
      <w:r>
        <w:rPr>
          <w:rFonts w:ascii="宋体" w:cs="宋体" w:eastAsia="宋体" w:hAnsi="宋体"/>
          <w:sz w:val="32"/>
          <w:szCs w:val="32"/>
          <w:color w:val="auto"/>
        </w:rPr>
        <w:t>）衍生金融资产的种类、投资日期、持有数量及账</w:t>
      </w:r>
    </w:p>
    <w:p>
      <w:pPr>
        <w:spacing w:after="0" w:line="260"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面金额。</w:t>
      </w:r>
    </w:p>
    <w:p>
      <w:pPr>
        <w:spacing w:after="0" w:line="236" w:lineRule="exact"/>
        <w:rPr>
          <w:sz w:val="20"/>
          <w:szCs w:val="20"/>
          <w:color w:val="auto"/>
        </w:rPr>
      </w:pPr>
    </w:p>
    <w:p>
      <w:pPr>
        <w:ind w:left="1000"/>
        <w:spacing w:after="0" w:line="388" w:lineRule="exact"/>
        <w:rPr>
          <w:sz w:val="20"/>
          <w:szCs w:val="20"/>
          <w:color w:val="auto"/>
        </w:rPr>
      </w:pPr>
      <w:r>
        <w:rPr>
          <w:rFonts w:ascii="宋体" w:cs="宋体" w:eastAsia="宋体" w:hAnsi="宋体"/>
          <w:sz w:val="32"/>
          <w:szCs w:val="32"/>
          <w:color w:val="auto"/>
        </w:rPr>
        <w:t>（</w:t>
      </w:r>
      <w:r>
        <w:rPr>
          <w:rFonts w:ascii="Arial" w:cs="Arial" w:eastAsia="Arial" w:hAnsi="Arial"/>
          <w:sz w:val="32"/>
          <w:szCs w:val="32"/>
          <w:color w:val="auto"/>
        </w:rPr>
        <w:t>2</w:t>
      </w:r>
      <w:r>
        <w:rPr>
          <w:rFonts w:ascii="宋体" w:cs="宋体" w:eastAsia="宋体" w:hAnsi="宋体"/>
          <w:sz w:val="32"/>
          <w:szCs w:val="32"/>
          <w:color w:val="auto"/>
        </w:rPr>
        <w:t>）影响衍生金融资产价值的主要因素，衍生金融资</w:t>
      </w:r>
    </w:p>
    <w:p>
      <w:pPr>
        <w:spacing w:after="0" w:line="270" w:lineRule="exact"/>
        <w:rPr>
          <w:sz w:val="20"/>
          <w:szCs w:val="20"/>
          <w:color w:val="auto"/>
        </w:rPr>
      </w:pPr>
    </w:p>
    <w:p>
      <w:pPr>
        <w:jc w:val="center"/>
        <w:ind w:right="6"/>
        <w:spacing w:after="0" w:line="354" w:lineRule="exact"/>
        <w:rPr>
          <w:sz w:val="20"/>
          <w:szCs w:val="20"/>
          <w:color w:val="auto"/>
        </w:rPr>
      </w:pPr>
      <w:r>
        <w:rPr>
          <w:rFonts w:ascii="宋体" w:cs="宋体" w:eastAsia="宋体" w:hAnsi="宋体"/>
          <w:sz w:val="31"/>
          <w:szCs w:val="31"/>
          <w:color w:val="auto"/>
        </w:rPr>
        <w:t>产评估中主要参数（如利率、汇率等）的预测方法，并分析</w:t>
      </w:r>
    </w:p>
    <w:p>
      <w:pPr>
        <w:sectPr>
          <w:pgSz w:w="11900" w:h="16838" w:orient="portrait"/>
          <w:cols w:equalWidth="0" w:num="1">
            <w:col w:w="9026"/>
          </w:cols>
          <w:pgMar w:left="1440" w:top="1440" w:right="1440" w:bottom="1440" w:gutter="0" w:footer="0" w:header="0"/>
        </w:sectPr>
      </w:pPr>
    </w:p>
    <w:bookmarkStart w:id="32" w:name="page33"/>
    <w:bookmarkEnd w:id="32"/>
    <w:p>
      <w:pPr>
        <w:spacing w:after="0" w:line="104"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其合理性。</w:t>
      </w:r>
    </w:p>
    <w:p>
      <w:pPr>
        <w:spacing w:after="0" w:line="237" w:lineRule="exact"/>
        <w:rPr>
          <w:sz w:val="20"/>
          <w:szCs w:val="20"/>
          <w:color w:val="auto"/>
        </w:rPr>
      </w:pPr>
    </w:p>
    <w:p>
      <w:pPr>
        <w:ind w:left="1000"/>
        <w:spacing w:after="0" w:line="388" w:lineRule="exact"/>
        <w:rPr>
          <w:sz w:val="20"/>
          <w:szCs w:val="20"/>
          <w:color w:val="auto"/>
        </w:rPr>
      </w:pPr>
      <w:r>
        <w:rPr>
          <w:rFonts w:ascii="宋体" w:cs="宋体" w:eastAsia="宋体" w:hAnsi="宋体"/>
          <w:sz w:val="32"/>
          <w:szCs w:val="32"/>
          <w:color w:val="auto"/>
        </w:rPr>
        <w:t>（</w:t>
      </w:r>
      <w:r>
        <w:rPr>
          <w:rFonts w:ascii="Arial" w:cs="Arial" w:eastAsia="Arial" w:hAnsi="Arial"/>
          <w:sz w:val="32"/>
          <w:szCs w:val="32"/>
          <w:color w:val="auto"/>
        </w:rPr>
        <w:t>3</w:t>
      </w:r>
      <w:r>
        <w:rPr>
          <w:rFonts w:ascii="宋体" w:cs="宋体" w:eastAsia="宋体" w:hAnsi="宋体"/>
          <w:sz w:val="32"/>
          <w:szCs w:val="32"/>
          <w:color w:val="auto"/>
        </w:rPr>
        <w:t>）衍生金融资产评估值的确定方法和结论。</w:t>
      </w:r>
    </w:p>
    <w:p>
      <w:pPr>
        <w:spacing w:after="0" w:line="236" w:lineRule="exact"/>
        <w:rPr>
          <w:sz w:val="20"/>
          <w:szCs w:val="20"/>
          <w:color w:val="auto"/>
        </w:rPr>
      </w:pPr>
    </w:p>
    <w:p>
      <w:pPr>
        <w:ind w:left="1000"/>
        <w:spacing w:after="0" w:line="388" w:lineRule="exact"/>
        <w:rPr>
          <w:sz w:val="20"/>
          <w:szCs w:val="20"/>
          <w:color w:val="auto"/>
        </w:rPr>
      </w:pPr>
      <w:r>
        <w:rPr>
          <w:rFonts w:ascii="Arial" w:cs="Arial" w:eastAsia="Arial" w:hAnsi="Arial"/>
          <w:sz w:val="32"/>
          <w:szCs w:val="32"/>
          <w:color w:val="auto"/>
        </w:rPr>
        <w:t>7.</w:t>
      </w:r>
      <w:r>
        <w:rPr>
          <w:rFonts w:ascii="宋体" w:cs="宋体" w:eastAsia="宋体" w:hAnsi="宋体"/>
          <w:sz w:val="32"/>
          <w:szCs w:val="32"/>
          <w:color w:val="auto"/>
        </w:rPr>
        <w:t>买入返售金融资产</w:t>
      </w:r>
    </w:p>
    <w:p>
      <w:pPr>
        <w:spacing w:after="0" w:line="248" w:lineRule="exact"/>
        <w:rPr>
          <w:sz w:val="20"/>
          <w:szCs w:val="20"/>
          <w:color w:val="auto"/>
        </w:rPr>
      </w:pPr>
    </w:p>
    <w:p>
      <w:pPr>
        <w:ind w:left="1000"/>
        <w:spacing w:after="0" w:line="376" w:lineRule="exact"/>
        <w:rPr>
          <w:sz w:val="20"/>
          <w:szCs w:val="20"/>
          <w:color w:val="auto"/>
        </w:rPr>
      </w:pPr>
      <w:r>
        <w:rPr>
          <w:rFonts w:ascii="宋体" w:cs="宋体" w:eastAsia="宋体" w:hAnsi="宋体"/>
          <w:sz w:val="31"/>
          <w:szCs w:val="31"/>
          <w:color w:val="auto"/>
        </w:rPr>
        <w:t>（</w:t>
      </w:r>
      <w:r>
        <w:rPr>
          <w:rFonts w:ascii="Arial" w:cs="Arial" w:eastAsia="Arial" w:hAnsi="Arial"/>
          <w:sz w:val="31"/>
          <w:szCs w:val="31"/>
          <w:color w:val="auto"/>
        </w:rPr>
        <w:t>1</w:t>
      </w:r>
      <w:r>
        <w:rPr>
          <w:rFonts w:ascii="宋体" w:cs="宋体" w:eastAsia="宋体" w:hAnsi="宋体"/>
          <w:sz w:val="31"/>
          <w:szCs w:val="31"/>
          <w:color w:val="auto"/>
        </w:rPr>
        <w:t>）买入返售金融资产的种类、账面金额及情况介绍。</w:t>
      </w:r>
    </w:p>
    <w:p>
      <w:pPr>
        <w:spacing w:after="0" w:line="236" w:lineRule="exact"/>
        <w:rPr>
          <w:sz w:val="20"/>
          <w:szCs w:val="20"/>
          <w:color w:val="auto"/>
        </w:rPr>
      </w:pPr>
    </w:p>
    <w:p>
      <w:pPr>
        <w:ind w:left="1000"/>
        <w:spacing w:after="0" w:line="388" w:lineRule="exact"/>
        <w:rPr>
          <w:sz w:val="20"/>
          <w:szCs w:val="20"/>
          <w:color w:val="auto"/>
        </w:rPr>
      </w:pPr>
      <w:r>
        <w:rPr>
          <w:rFonts w:ascii="宋体" w:cs="宋体" w:eastAsia="宋体" w:hAnsi="宋体"/>
          <w:sz w:val="32"/>
          <w:szCs w:val="32"/>
          <w:color w:val="auto"/>
        </w:rPr>
        <w:t>（</w:t>
      </w:r>
      <w:r>
        <w:rPr>
          <w:rFonts w:ascii="Arial" w:cs="Arial" w:eastAsia="Arial" w:hAnsi="Arial"/>
          <w:sz w:val="32"/>
          <w:szCs w:val="32"/>
          <w:color w:val="auto"/>
        </w:rPr>
        <w:t>2</w:t>
      </w:r>
      <w:r>
        <w:rPr>
          <w:rFonts w:ascii="宋体" w:cs="宋体" w:eastAsia="宋体" w:hAnsi="宋体"/>
          <w:sz w:val="32"/>
          <w:szCs w:val="32"/>
          <w:color w:val="auto"/>
        </w:rPr>
        <w:t>）买入返售金融资产核实的方法和结论。</w:t>
      </w:r>
    </w:p>
    <w:p>
      <w:pPr>
        <w:spacing w:after="0" w:line="236" w:lineRule="exact"/>
        <w:rPr>
          <w:sz w:val="20"/>
          <w:szCs w:val="20"/>
          <w:color w:val="auto"/>
        </w:rPr>
      </w:pPr>
    </w:p>
    <w:p>
      <w:pPr>
        <w:ind w:left="1000"/>
        <w:spacing w:after="0" w:line="388" w:lineRule="exact"/>
        <w:rPr>
          <w:sz w:val="20"/>
          <w:szCs w:val="20"/>
          <w:color w:val="auto"/>
        </w:rPr>
      </w:pPr>
      <w:r>
        <w:rPr>
          <w:rFonts w:ascii="宋体" w:cs="宋体" w:eastAsia="宋体" w:hAnsi="宋体"/>
          <w:sz w:val="32"/>
          <w:szCs w:val="32"/>
          <w:color w:val="auto"/>
        </w:rPr>
        <w:t>（</w:t>
      </w:r>
      <w:r>
        <w:rPr>
          <w:rFonts w:ascii="Arial" w:cs="Arial" w:eastAsia="Arial" w:hAnsi="Arial"/>
          <w:sz w:val="32"/>
          <w:szCs w:val="32"/>
          <w:color w:val="auto"/>
        </w:rPr>
        <w:t>3</w:t>
      </w:r>
      <w:r>
        <w:rPr>
          <w:rFonts w:ascii="宋体" w:cs="宋体" w:eastAsia="宋体" w:hAnsi="宋体"/>
          <w:sz w:val="32"/>
          <w:szCs w:val="32"/>
          <w:color w:val="auto"/>
        </w:rPr>
        <w:t>）买入返售金融资产评估值的确定方法和结论。</w:t>
      </w:r>
    </w:p>
    <w:p>
      <w:pPr>
        <w:spacing w:after="0" w:line="236" w:lineRule="exact"/>
        <w:rPr>
          <w:sz w:val="20"/>
          <w:szCs w:val="20"/>
          <w:color w:val="auto"/>
        </w:rPr>
      </w:pPr>
    </w:p>
    <w:p>
      <w:pPr>
        <w:ind w:left="1000"/>
        <w:spacing w:after="0" w:line="388" w:lineRule="exact"/>
        <w:rPr>
          <w:sz w:val="20"/>
          <w:szCs w:val="20"/>
          <w:color w:val="auto"/>
        </w:rPr>
      </w:pPr>
      <w:r>
        <w:rPr>
          <w:rFonts w:ascii="Arial" w:cs="Arial" w:eastAsia="Arial" w:hAnsi="Arial"/>
          <w:sz w:val="32"/>
          <w:szCs w:val="32"/>
          <w:color w:val="auto"/>
        </w:rPr>
        <w:t>8</w:t>
      </w:r>
      <w:r>
        <w:rPr>
          <w:rFonts w:ascii="宋体" w:cs="宋体" w:eastAsia="宋体" w:hAnsi="宋体"/>
          <w:sz w:val="32"/>
          <w:szCs w:val="32"/>
          <w:color w:val="auto"/>
        </w:rPr>
        <w:t>．应收利息</w:t>
      </w:r>
    </w:p>
    <w:p>
      <w:pPr>
        <w:spacing w:after="0" w:line="237" w:lineRule="exact"/>
        <w:rPr>
          <w:sz w:val="20"/>
          <w:szCs w:val="20"/>
          <w:color w:val="auto"/>
        </w:rPr>
      </w:pPr>
    </w:p>
    <w:p>
      <w:pPr>
        <w:ind w:left="1000"/>
        <w:spacing w:after="0" w:line="388" w:lineRule="exact"/>
        <w:rPr>
          <w:sz w:val="20"/>
          <w:szCs w:val="20"/>
          <w:color w:val="auto"/>
        </w:rPr>
      </w:pPr>
      <w:r>
        <w:rPr>
          <w:rFonts w:ascii="宋体" w:cs="宋体" w:eastAsia="宋体" w:hAnsi="宋体"/>
          <w:sz w:val="32"/>
          <w:szCs w:val="32"/>
          <w:color w:val="auto"/>
        </w:rPr>
        <w:t>（</w:t>
      </w:r>
      <w:r>
        <w:rPr>
          <w:rFonts w:ascii="Arial" w:cs="Arial" w:eastAsia="Arial" w:hAnsi="Arial"/>
          <w:sz w:val="32"/>
          <w:szCs w:val="32"/>
          <w:color w:val="auto"/>
        </w:rPr>
        <w:t>1</w:t>
      </w:r>
      <w:r>
        <w:rPr>
          <w:rFonts w:ascii="宋体" w:cs="宋体" w:eastAsia="宋体" w:hAnsi="宋体"/>
          <w:sz w:val="32"/>
          <w:szCs w:val="32"/>
          <w:color w:val="auto"/>
        </w:rPr>
        <w:t>）应收利息的主要业务内容和对应金额。</w:t>
      </w:r>
    </w:p>
    <w:p>
      <w:pPr>
        <w:spacing w:after="0" w:line="236" w:lineRule="exact"/>
        <w:rPr>
          <w:sz w:val="20"/>
          <w:szCs w:val="20"/>
          <w:color w:val="auto"/>
        </w:rPr>
      </w:pPr>
    </w:p>
    <w:p>
      <w:pPr>
        <w:ind w:left="1000"/>
        <w:spacing w:after="0" w:line="388" w:lineRule="exact"/>
        <w:rPr>
          <w:sz w:val="20"/>
          <w:szCs w:val="20"/>
          <w:color w:val="auto"/>
        </w:rPr>
      </w:pPr>
      <w:r>
        <w:rPr>
          <w:rFonts w:ascii="宋体" w:cs="宋体" w:eastAsia="宋体" w:hAnsi="宋体"/>
          <w:sz w:val="32"/>
          <w:szCs w:val="32"/>
          <w:color w:val="auto"/>
        </w:rPr>
        <w:t>（</w:t>
      </w:r>
      <w:r>
        <w:rPr>
          <w:rFonts w:ascii="Arial" w:cs="Arial" w:eastAsia="Arial" w:hAnsi="Arial"/>
          <w:sz w:val="32"/>
          <w:szCs w:val="32"/>
          <w:color w:val="auto"/>
        </w:rPr>
        <w:t>2</w:t>
      </w:r>
      <w:r>
        <w:rPr>
          <w:rFonts w:ascii="宋体" w:cs="宋体" w:eastAsia="宋体" w:hAnsi="宋体"/>
          <w:sz w:val="32"/>
          <w:szCs w:val="32"/>
          <w:color w:val="auto"/>
        </w:rPr>
        <w:t>）应收利息核实的方法及结论。</w:t>
      </w:r>
    </w:p>
    <w:p>
      <w:pPr>
        <w:spacing w:after="0" w:line="236" w:lineRule="exact"/>
        <w:rPr>
          <w:sz w:val="20"/>
          <w:szCs w:val="20"/>
          <w:color w:val="auto"/>
        </w:rPr>
      </w:pPr>
    </w:p>
    <w:p>
      <w:pPr>
        <w:ind w:left="1000"/>
        <w:spacing w:after="0" w:line="388" w:lineRule="exact"/>
        <w:rPr>
          <w:sz w:val="20"/>
          <w:szCs w:val="20"/>
          <w:color w:val="auto"/>
        </w:rPr>
      </w:pPr>
      <w:r>
        <w:rPr>
          <w:rFonts w:ascii="宋体" w:cs="宋体" w:eastAsia="宋体" w:hAnsi="宋体"/>
          <w:sz w:val="32"/>
          <w:szCs w:val="32"/>
          <w:color w:val="auto"/>
        </w:rPr>
        <w:t>（</w:t>
      </w:r>
      <w:r>
        <w:rPr>
          <w:rFonts w:ascii="Arial" w:cs="Arial" w:eastAsia="Arial" w:hAnsi="Arial"/>
          <w:sz w:val="32"/>
          <w:szCs w:val="32"/>
          <w:color w:val="auto"/>
        </w:rPr>
        <w:t>3</w:t>
      </w:r>
      <w:r>
        <w:rPr>
          <w:rFonts w:ascii="宋体" w:cs="宋体" w:eastAsia="宋体" w:hAnsi="宋体"/>
          <w:sz w:val="32"/>
          <w:szCs w:val="32"/>
          <w:color w:val="auto"/>
        </w:rPr>
        <w:t>）应收利息发生时间，可能形成坏账款项的判断依</w:t>
      </w:r>
    </w:p>
    <w:p>
      <w:pPr>
        <w:spacing w:after="0" w:line="259"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据及结论。</w:t>
      </w:r>
    </w:p>
    <w:p>
      <w:pPr>
        <w:spacing w:after="0" w:line="236" w:lineRule="exact"/>
        <w:rPr>
          <w:sz w:val="20"/>
          <w:szCs w:val="20"/>
          <w:color w:val="auto"/>
        </w:rPr>
      </w:pPr>
    </w:p>
    <w:p>
      <w:pPr>
        <w:ind w:left="1000"/>
        <w:spacing w:after="0" w:line="388" w:lineRule="exact"/>
        <w:rPr>
          <w:sz w:val="20"/>
          <w:szCs w:val="20"/>
          <w:color w:val="auto"/>
        </w:rPr>
      </w:pPr>
      <w:r>
        <w:rPr>
          <w:rFonts w:ascii="宋体" w:cs="宋体" w:eastAsia="宋体" w:hAnsi="宋体"/>
          <w:sz w:val="32"/>
          <w:szCs w:val="32"/>
          <w:color w:val="auto"/>
        </w:rPr>
        <w:t>（</w:t>
      </w:r>
      <w:r>
        <w:rPr>
          <w:rFonts w:ascii="Arial" w:cs="Arial" w:eastAsia="Arial" w:hAnsi="Arial"/>
          <w:sz w:val="32"/>
          <w:szCs w:val="32"/>
          <w:color w:val="auto"/>
        </w:rPr>
        <w:t>4</w:t>
      </w:r>
      <w:r>
        <w:rPr>
          <w:rFonts w:ascii="宋体" w:cs="宋体" w:eastAsia="宋体" w:hAnsi="宋体"/>
          <w:sz w:val="32"/>
          <w:szCs w:val="32"/>
          <w:color w:val="auto"/>
        </w:rPr>
        <w:t>）表外应收利息的核实情况。</w:t>
      </w:r>
    </w:p>
    <w:p>
      <w:pPr>
        <w:spacing w:after="0" w:line="236" w:lineRule="exact"/>
        <w:rPr>
          <w:sz w:val="20"/>
          <w:szCs w:val="20"/>
          <w:color w:val="auto"/>
        </w:rPr>
      </w:pPr>
    </w:p>
    <w:p>
      <w:pPr>
        <w:ind w:left="1000"/>
        <w:spacing w:after="0" w:line="388" w:lineRule="exact"/>
        <w:rPr>
          <w:sz w:val="20"/>
          <w:szCs w:val="20"/>
          <w:color w:val="auto"/>
        </w:rPr>
      </w:pPr>
      <w:r>
        <w:rPr>
          <w:rFonts w:ascii="宋体" w:cs="宋体" w:eastAsia="宋体" w:hAnsi="宋体"/>
          <w:sz w:val="32"/>
          <w:szCs w:val="32"/>
          <w:color w:val="auto"/>
        </w:rPr>
        <w:t>（</w:t>
      </w:r>
      <w:r>
        <w:rPr>
          <w:rFonts w:ascii="Arial" w:cs="Arial" w:eastAsia="Arial" w:hAnsi="Arial"/>
          <w:sz w:val="32"/>
          <w:szCs w:val="32"/>
          <w:color w:val="auto"/>
        </w:rPr>
        <w:t>5</w:t>
      </w:r>
      <w:r>
        <w:rPr>
          <w:rFonts w:ascii="宋体" w:cs="宋体" w:eastAsia="宋体" w:hAnsi="宋体"/>
          <w:sz w:val="32"/>
          <w:szCs w:val="32"/>
          <w:color w:val="auto"/>
        </w:rPr>
        <w:t>）应收利息评估值的确定方法和结论。</w:t>
      </w:r>
    </w:p>
    <w:p>
      <w:pPr>
        <w:spacing w:after="0" w:line="237" w:lineRule="exact"/>
        <w:rPr>
          <w:sz w:val="20"/>
          <w:szCs w:val="20"/>
          <w:color w:val="auto"/>
        </w:rPr>
      </w:pPr>
    </w:p>
    <w:p>
      <w:pPr>
        <w:ind w:left="1000"/>
        <w:spacing w:after="0" w:line="388" w:lineRule="exact"/>
        <w:rPr>
          <w:sz w:val="20"/>
          <w:szCs w:val="20"/>
          <w:color w:val="auto"/>
        </w:rPr>
      </w:pPr>
      <w:r>
        <w:rPr>
          <w:rFonts w:ascii="Arial" w:cs="Arial" w:eastAsia="Arial" w:hAnsi="Arial"/>
          <w:sz w:val="32"/>
          <w:szCs w:val="32"/>
          <w:color w:val="auto"/>
        </w:rPr>
        <w:t>9.</w:t>
      </w:r>
      <w:r>
        <w:rPr>
          <w:rFonts w:ascii="宋体" w:cs="宋体" w:eastAsia="宋体" w:hAnsi="宋体"/>
          <w:sz w:val="32"/>
          <w:szCs w:val="32"/>
          <w:color w:val="auto"/>
        </w:rPr>
        <w:t>发放贷款及垫款</w:t>
      </w:r>
    </w:p>
    <w:p>
      <w:pPr>
        <w:spacing w:after="0" w:line="236" w:lineRule="exact"/>
        <w:rPr>
          <w:sz w:val="20"/>
          <w:szCs w:val="20"/>
          <w:color w:val="auto"/>
        </w:rPr>
      </w:pPr>
    </w:p>
    <w:p>
      <w:pPr>
        <w:ind w:left="1000"/>
        <w:spacing w:after="0" w:line="388" w:lineRule="exact"/>
        <w:rPr>
          <w:sz w:val="20"/>
          <w:szCs w:val="20"/>
          <w:color w:val="auto"/>
        </w:rPr>
      </w:pPr>
      <w:r>
        <w:rPr>
          <w:rFonts w:ascii="宋体" w:cs="宋体" w:eastAsia="宋体" w:hAnsi="宋体"/>
          <w:sz w:val="32"/>
          <w:szCs w:val="32"/>
          <w:color w:val="auto"/>
        </w:rPr>
        <w:t>（</w:t>
      </w:r>
      <w:r>
        <w:rPr>
          <w:rFonts w:ascii="Arial" w:cs="Arial" w:eastAsia="Arial" w:hAnsi="Arial"/>
          <w:sz w:val="32"/>
          <w:szCs w:val="32"/>
          <w:color w:val="auto"/>
        </w:rPr>
        <w:t>1</w:t>
      </w:r>
      <w:r>
        <w:rPr>
          <w:rFonts w:ascii="宋体" w:cs="宋体" w:eastAsia="宋体" w:hAnsi="宋体"/>
          <w:sz w:val="32"/>
          <w:szCs w:val="32"/>
          <w:color w:val="auto"/>
        </w:rPr>
        <w:t>）贷款</w:t>
      </w:r>
    </w:p>
    <w:p>
      <w:pPr>
        <w:spacing w:after="0" w:line="236" w:lineRule="exact"/>
        <w:rPr>
          <w:sz w:val="20"/>
          <w:szCs w:val="20"/>
          <w:color w:val="auto"/>
        </w:rPr>
      </w:pPr>
    </w:p>
    <w:p>
      <w:pPr>
        <w:ind w:left="1000"/>
        <w:spacing w:after="0" w:line="388" w:lineRule="exact"/>
        <w:rPr>
          <w:sz w:val="20"/>
          <w:szCs w:val="20"/>
          <w:color w:val="auto"/>
        </w:rPr>
      </w:pPr>
      <w:r>
        <w:rPr>
          <w:rFonts w:ascii="Arial" w:cs="Arial" w:eastAsia="Arial" w:hAnsi="Arial"/>
          <w:sz w:val="32"/>
          <w:szCs w:val="32"/>
          <w:color w:val="auto"/>
        </w:rPr>
        <w:t>1)</w:t>
      </w:r>
      <w:r>
        <w:rPr>
          <w:rFonts w:ascii="宋体" w:cs="宋体" w:eastAsia="宋体" w:hAnsi="宋体"/>
          <w:sz w:val="32"/>
          <w:szCs w:val="32"/>
          <w:color w:val="auto"/>
        </w:rPr>
        <w:t>企业贷款管理制度。</w:t>
      </w:r>
    </w:p>
    <w:p>
      <w:pPr>
        <w:spacing w:after="0" w:line="236" w:lineRule="exact"/>
        <w:rPr>
          <w:sz w:val="20"/>
          <w:szCs w:val="20"/>
          <w:color w:val="auto"/>
        </w:rPr>
      </w:pPr>
    </w:p>
    <w:p>
      <w:pPr>
        <w:ind w:left="1000"/>
        <w:spacing w:after="0" w:line="388" w:lineRule="exact"/>
        <w:rPr>
          <w:sz w:val="20"/>
          <w:szCs w:val="20"/>
          <w:color w:val="auto"/>
        </w:rPr>
      </w:pPr>
      <w:r>
        <w:rPr>
          <w:rFonts w:ascii="Arial" w:cs="Arial" w:eastAsia="Arial" w:hAnsi="Arial"/>
          <w:sz w:val="32"/>
          <w:szCs w:val="32"/>
          <w:color w:val="auto"/>
        </w:rPr>
        <w:t>2)</w:t>
      </w:r>
      <w:r>
        <w:rPr>
          <w:rFonts w:ascii="宋体" w:cs="宋体" w:eastAsia="宋体" w:hAnsi="宋体"/>
          <w:sz w:val="32"/>
          <w:szCs w:val="32"/>
          <w:color w:val="auto"/>
        </w:rPr>
        <w:t>贷款按照五级分类原则的分类情况，各级别贷款的金</w:t>
      </w:r>
    </w:p>
    <w:p>
      <w:pPr>
        <w:spacing w:after="0" w:line="259"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额及情况介绍。</w:t>
      </w:r>
    </w:p>
    <w:p>
      <w:pPr>
        <w:spacing w:after="0" w:line="236" w:lineRule="exact"/>
        <w:rPr>
          <w:sz w:val="20"/>
          <w:szCs w:val="20"/>
          <w:color w:val="auto"/>
        </w:rPr>
      </w:pPr>
    </w:p>
    <w:p>
      <w:pPr>
        <w:ind w:left="1000"/>
        <w:spacing w:after="0" w:line="388" w:lineRule="exact"/>
        <w:rPr>
          <w:sz w:val="20"/>
          <w:szCs w:val="20"/>
          <w:color w:val="auto"/>
        </w:rPr>
      </w:pPr>
      <w:r>
        <w:rPr>
          <w:rFonts w:ascii="Arial" w:cs="Arial" w:eastAsia="Arial" w:hAnsi="Arial"/>
          <w:sz w:val="32"/>
          <w:szCs w:val="32"/>
          <w:color w:val="auto"/>
        </w:rPr>
        <w:t>3)</w:t>
      </w:r>
      <w:r>
        <w:rPr>
          <w:rFonts w:ascii="宋体" w:cs="宋体" w:eastAsia="宋体" w:hAnsi="宋体"/>
          <w:sz w:val="32"/>
          <w:szCs w:val="32"/>
          <w:color w:val="auto"/>
        </w:rPr>
        <w:t>对公贷款抽样方法，验证贷款五级分类及计提贷款减</w:t>
      </w:r>
    </w:p>
    <w:p>
      <w:pPr>
        <w:spacing w:after="0" w:line="260"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值准备的合理性。</w:t>
      </w:r>
    </w:p>
    <w:p>
      <w:pPr>
        <w:spacing w:after="0" w:line="236" w:lineRule="exact"/>
        <w:rPr>
          <w:sz w:val="20"/>
          <w:szCs w:val="20"/>
          <w:color w:val="auto"/>
        </w:rPr>
      </w:pPr>
    </w:p>
    <w:p>
      <w:pPr>
        <w:ind w:left="1000"/>
        <w:spacing w:after="0" w:line="388" w:lineRule="exact"/>
        <w:rPr>
          <w:sz w:val="20"/>
          <w:szCs w:val="20"/>
          <w:color w:val="auto"/>
        </w:rPr>
      </w:pPr>
      <w:r>
        <w:rPr>
          <w:rFonts w:ascii="Arial" w:cs="Arial" w:eastAsia="Arial" w:hAnsi="Arial"/>
          <w:sz w:val="32"/>
          <w:szCs w:val="32"/>
          <w:color w:val="auto"/>
        </w:rPr>
        <w:t>4)</w:t>
      </w:r>
      <w:r>
        <w:rPr>
          <w:rFonts w:ascii="宋体" w:cs="宋体" w:eastAsia="宋体" w:hAnsi="宋体"/>
          <w:sz w:val="32"/>
          <w:szCs w:val="32"/>
          <w:color w:val="auto"/>
        </w:rPr>
        <w:t>对私贷款抽样方法。</w:t>
      </w:r>
    </w:p>
    <w:p>
      <w:pPr>
        <w:spacing w:after="0" w:line="236" w:lineRule="exact"/>
        <w:rPr>
          <w:sz w:val="20"/>
          <w:szCs w:val="20"/>
          <w:color w:val="auto"/>
        </w:rPr>
      </w:pPr>
    </w:p>
    <w:p>
      <w:pPr>
        <w:ind w:left="1000"/>
        <w:spacing w:after="0" w:line="388" w:lineRule="exact"/>
        <w:rPr>
          <w:sz w:val="20"/>
          <w:szCs w:val="20"/>
          <w:color w:val="auto"/>
        </w:rPr>
      </w:pPr>
      <w:r>
        <w:rPr>
          <w:rFonts w:ascii="Arial" w:cs="Arial" w:eastAsia="Arial" w:hAnsi="Arial"/>
          <w:sz w:val="32"/>
          <w:szCs w:val="32"/>
          <w:color w:val="auto"/>
        </w:rPr>
        <w:t>5)</w:t>
      </w:r>
      <w:r>
        <w:rPr>
          <w:rFonts w:ascii="宋体" w:cs="宋体" w:eastAsia="宋体" w:hAnsi="宋体"/>
          <w:sz w:val="32"/>
          <w:szCs w:val="32"/>
          <w:color w:val="auto"/>
        </w:rPr>
        <w:t>函证情况介绍。</w:t>
      </w:r>
    </w:p>
    <w:p>
      <w:pPr>
        <w:sectPr>
          <w:pgSz w:w="11900" w:h="16838" w:orient="portrait"/>
          <w:cols w:equalWidth="0" w:num="1">
            <w:col w:w="9026"/>
          </w:cols>
          <w:pgMar w:left="1440" w:top="1440" w:right="1440" w:bottom="1440" w:gutter="0" w:footer="0" w:header="0"/>
        </w:sectPr>
      </w:pPr>
    </w:p>
    <w:bookmarkStart w:id="33" w:name="page34"/>
    <w:bookmarkEnd w:id="33"/>
    <w:p>
      <w:pPr>
        <w:spacing w:after="0" w:line="81" w:lineRule="exact"/>
        <w:rPr>
          <w:sz w:val="20"/>
          <w:szCs w:val="20"/>
          <w:color w:val="auto"/>
        </w:rPr>
      </w:pPr>
    </w:p>
    <w:p>
      <w:pPr>
        <w:ind w:left="1000"/>
        <w:spacing w:after="0" w:line="388" w:lineRule="exact"/>
        <w:rPr>
          <w:sz w:val="20"/>
          <w:szCs w:val="20"/>
          <w:color w:val="auto"/>
        </w:rPr>
      </w:pPr>
      <w:r>
        <w:rPr>
          <w:rFonts w:ascii="Arial" w:cs="Arial" w:eastAsia="Arial" w:hAnsi="Arial"/>
          <w:sz w:val="32"/>
          <w:szCs w:val="32"/>
          <w:color w:val="auto"/>
        </w:rPr>
        <w:t>6)</w:t>
      </w:r>
      <w:r>
        <w:rPr>
          <w:rFonts w:ascii="宋体" w:cs="宋体" w:eastAsia="宋体" w:hAnsi="宋体"/>
          <w:sz w:val="32"/>
          <w:szCs w:val="32"/>
          <w:color w:val="auto"/>
        </w:rPr>
        <w:t>贷款评估值的确定方法和结论。</w:t>
      </w:r>
    </w:p>
    <w:p>
      <w:pPr>
        <w:spacing w:after="0" w:line="237" w:lineRule="exact"/>
        <w:rPr>
          <w:sz w:val="20"/>
          <w:szCs w:val="20"/>
          <w:color w:val="auto"/>
        </w:rPr>
      </w:pPr>
    </w:p>
    <w:p>
      <w:pPr>
        <w:ind w:left="1000"/>
        <w:spacing w:after="0" w:line="388" w:lineRule="exact"/>
        <w:rPr>
          <w:sz w:val="20"/>
          <w:szCs w:val="20"/>
          <w:color w:val="auto"/>
        </w:rPr>
      </w:pPr>
      <w:r>
        <w:rPr>
          <w:rFonts w:ascii="宋体" w:cs="宋体" w:eastAsia="宋体" w:hAnsi="宋体"/>
          <w:sz w:val="32"/>
          <w:szCs w:val="32"/>
          <w:color w:val="auto"/>
        </w:rPr>
        <w:t>（</w:t>
      </w:r>
      <w:r>
        <w:rPr>
          <w:rFonts w:ascii="Arial" w:cs="Arial" w:eastAsia="Arial" w:hAnsi="Arial"/>
          <w:sz w:val="32"/>
          <w:szCs w:val="32"/>
          <w:color w:val="auto"/>
        </w:rPr>
        <w:t>2</w:t>
      </w:r>
      <w:r>
        <w:rPr>
          <w:rFonts w:ascii="宋体" w:cs="宋体" w:eastAsia="宋体" w:hAnsi="宋体"/>
          <w:sz w:val="32"/>
          <w:szCs w:val="32"/>
          <w:color w:val="auto"/>
        </w:rPr>
        <w:t>）贴现资产</w:t>
      </w:r>
    </w:p>
    <w:p>
      <w:pPr>
        <w:spacing w:after="0" w:line="236" w:lineRule="exact"/>
        <w:rPr>
          <w:sz w:val="20"/>
          <w:szCs w:val="20"/>
          <w:color w:val="auto"/>
        </w:rPr>
      </w:pPr>
    </w:p>
    <w:p>
      <w:pPr>
        <w:ind w:left="1000"/>
        <w:spacing w:after="0" w:line="388" w:lineRule="exact"/>
        <w:rPr>
          <w:sz w:val="20"/>
          <w:szCs w:val="20"/>
          <w:color w:val="auto"/>
        </w:rPr>
      </w:pPr>
      <w:r>
        <w:rPr>
          <w:rFonts w:ascii="Arial" w:cs="Arial" w:eastAsia="Arial" w:hAnsi="Arial"/>
          <w:sz w:val="32"/>
          <w:szCs w:val="32"/>
          <w:color w:val="auto"/>
        </w:rPr>
        <w:t>1)</w:t>
      </w:r>
      <w:r>
        <w:rPr>
          <w:rFonts w:ascii="宋体" w:cs="宋体" w:eastAsia="宋体" w:hAnsi="宋体"/>
          <w:sz w:val="32"/>
          <w:szCs w:val="32"/>
          <w:color w:val="auto"/>
        </w:rPr>
        <w:t>贴现资产的账面种类、金额。</w:t>
      </w:r>
    </w:p>
    <w:p>
      <w:pPr>
        <w:spacing w:after="0" w:line="236" w:lineRule="exact"/>
        <w:rPr>
          <w:sz w:val="20"/>
          <w:szCs w:val="20"/>
          <w:color w:val="auto"/>
        </w:rPr>
      </w:pPr>
    </w:p>
    <w:p>
      <w:pPr>
        <w:ind w:left="1000"/>
        <w:spacing w:after="0" w:line="388" w:lineRule="exact"/>
        <w:rPr>
          <w:sz w:val="20"/>
          <w:szCs w:val="20"/>
          <w:color w:val="auto"/>
        </w:rPr>
      </w:pPr>
      <w:r>
        <w:rPr>
          <w:rFonts w:ascii="Arial" w:cs="Arial" w:eastAsia="Arial" w:hAnsi="Arial"/>
          <w:sz w:val="32"/>
          <w:szCs w:val="32"/>
          <w:color w:val="auto"/>
        </w:rPr>
        <w:t>2)</w:t>
      </w:r>
      <w:r>
        <w:rPr>
          <w:rFonts w:ascii="宋体" w:cs="宋体" w:eastAsia="宋体" w:hAnsi="宋体"/>
          <w:sz w:val="32"/>
          <w:szCs w:val="32"/>
          <w:color w:val="auto"/>
        </w:rPr>
        <w:t>贴现资产核实的方法和结论。</w:t>
      </w:r>
    </w:p>
    <w:p>
      <w:pPr>
        <w:spacing w:after="0" w:line="236" w:lineRule="exact"/>
        <w:rPr>
          <w:sz w:val="20"/>
          <w:szCs w:val="20"/>
          <w:color w:val="auto"/>
        </w:rPr>
      </w:pPr>
    </w:p>
    <w:p>
      <w:pPr>
        <w:ind w:left="1000"/>
        <w:spacing w:after="0" w:line="388" w:lineRule="exact"/>
        <w:rPr>
          <w:sz w:val="20"/>
          <w:szCs w:val="20"/>
          <w:color w:val="auto"/>
        </w:rPr>
      </w:pPr>
      <w:r>
        <w:rPr>
          <w:rFonts w:ascii="Arial" w:cs="Arial" w:eastAsia="Arial" w:hAnsi="Arial"/>
          <w:sz w:val="32"/>
          <w:szCs w:val="32"/>
          <w:color w:val="auto"/>
        </w:rPr>
        <w:t>3)</w:t>
      </w:r>
      <w:r>
        <w:rPr>
          <w:rFonts w:ascii="宋体" w:cs="宋体" w:eastAsia="宋体" w:hAnsi="宋体"/>
          <w:sz w:val="32"/>
          <w:szCs w:val="32"/>
          <w:color w:val="auto"/>
        </w:rPr>
        <w:t>贴现资产评估值的确定方法和结论。</w:t>
      </w:r>
    </w:p>
    <w:p>
      <w:pPr>
        <w:spacing w:after="0" w:line="236" w:lineRule="exact"/>
        <w:rPr>
          <w:sz w:val="20"/>
          <w:szCs w:val="20"/>
          <w:color w:val="auto"/>
        </w:rPr>
      </w:pPr>
    </w:p>
    <w:p>
      <w:pPr>
        <w:ind w:left="1000"/>
        <w:spacing w:after="0" w:line="388" w:lineRule="exact"/>
        <w:rPr>
          <w:sz w:val="20"/>
          <w:szCs w:val="20"/>
          <w:color w:val="auto"/>
        </w:rPr>
      </w:pPr>
      <w:r>
        <w:rPr>
          <w:rFonts w:ascii="Arial" w:cs="Arial" w:eastAsia="Arial" w:hAnsi="Arial"/>
          <w:sz w:val="32"/>
          <w:szCs w:val="32"/>
          <w:color w:val="auto"/>
        </w:rPr>
        <w:t>10</w:t>
      </w:r>
      <w:r>
        <w:rPr>
          <w:rFonts w:ascii="宋体" w:cs="宋体" w:eastAsia="宋体" w:hAnsi="宋体"/>
          <w:sz w:val="32"/>
          <w:szCs w:val="32"/>
          <w:color w:val="auto"/>
        </w:rPr>
        <w:t>．可供出售金融资产</w:t>
      </w:r>
    </w:p>
    <w:p>
      <w:pPr>
        <w:spacing w:after="0" w:line="236" w:lineRule="exact"/>
        <w:rPr>
          <w:sz w:val="20"/>
          <w:szCs w:val="20"/>
          <w:color w:val="auto"/>
        </w:rPr>
      </w:pPr>
    </w:p>
    <w:p>
      <w:pPr>
        <w:ind w:left="1000"/>
        <w:spacing w:after="0" w:line="388" w:lineRule="exact"/>
        <w:rPr>
          <w:sz w:val="20"/>
          <w:szCs w:val="20"/>
          <w:color w:val="auto"/>
        </w:rPr>
      </w:pPr>
      <w:r>
        <w:rPr>
          <w:rFonts w:ascii="宋体" w:cs="宋体" w:eastAsia="宋体" w:hAnsi="宋体"/>
          <w:sz w:val="32"/>
          <w:szCs w:val="32"/>
          <w:color w:val="auto"/>
        </w:rPr>
        <w:t>（</w:t>
      </w:r>
      <w:r>
        <w:rPr>
          <w:rFonts w:ascii="Arial" w:cs="Arial" w:eastAsia="Arial" w:hAnsi="Arial"/>
          <w:sz w:val="32"/>
          <w:szCs w:val="32"/>
          <w:color w:val="auto"/>
        </w:rPr>
        <w:t>1</w:t>
      </w:r>
      <w:r>
        <w:rPr>
          <w:rFonts w:ascii="宋体" w:cs="宋体" w:eastAsia="宋体" w:hAnsi="宋体"/>
          <w:sz w:val="32"/>
          <w:szCs w:val="32"/>
          <w:color w:val="auto"/>
        </w:rPr>
        <w:t>）可供出售金融资产的种类、发生时间和金额。</w:t>
      </w:r>
    </w:p>
    <w:p>
      <w:pPr>
        <w:spacing w:after="0" w:line="237" w:lineRule="exact"/>
        <w:rPr>
          <w:sz w:val="20"/>
          <w:szCs w:val="20"/>
          <w:color w:val="auto"/>
        </w:rPr>
      </w:pPr>
    </w:p>
    <w:p>
      <w:pPr>
        <w:ind w:left="1000"/>
        <w:spacing w:after="0" w:line="388" w:lineRule="exact"/>
        <w:rPr>
          <w:sz w:val="20"/>
          <w:szCs w:val="20"/>
          <w:color w:val="auto"/>
        </w:rPr>
      </w:pPr>
      <w:r>
        <w:rPr>
          <w:rFonts w:ascii="宋体" w:cs="宋体" w:eastAsia="宋体" w:hAnsi="宋体"/>
          <w:sz w:val="32"/>
          <w:szCs w:val="32"/>
          <w:color w:val="auto"/>
        </w:rPr>
        <w:t>（</w:t>
      </w:r>
      <w:r>
        <w:rPr>
          <w:rFonts w:ascii="Arial" w:cs="Arial" w:eastAsia="Arial" w:hAnsi="Arial"/>
          <w:sz w:val="32"/>
          <w:szCs w:val="32"/>
          <w:color w:val="auto"/>
        </w:rPr>
        <w:t>2</w:t>
      </w:r>
      <w:r>
        <w:rPr>
          <w:rFonts w:ascii="宋体" w:cs="宋体" w:eastAsia="宋体" w:hAnsi="宋体"/>
          <w:sz w:val="32"/>
          <w:szCs w:val="32"/>
          <w:color w:val="auto"/>
        </w:rPr>
        <w:t>）可供出售金融资产核实的方法和结论。</w:t>
      </w:r>
    </w:p>
    <w:p>
      <w:pPr>
        <w:spacing w:after="0" w:line="236" w:lineRule="exact"/>
        <w:rPr>
          <w:sz w:val="20"/>
          <w:szCs w:val="20"/>
          <w:color w:val="auto"/>
        </w:rPr>
      </w:pPr>
    </w:p>
    <w:p>
      <w:pPr>
        <w:ind w:left="1000"/>
        <w:spacing w:after="0" w:line="388" w:lineRule="exact"/>
        <w:rPr>
          <w:sz w:val="20"/>
          <w:szCs w:val="20"/>
          <w:color w:val="auto"/>
        </w:rPr>
      </w:pPr>
      <w:r>
        <w:rPr>
          <w:rFonts w:ascii="宋体" w:cs="宋体" w:eastAsia="宋体" w:hAnsi="宋体"/>
          <w:sz w:val="32"/>
          <w:szCs w:val="32"/>
          <w:color w:val="auto"/>
        </w:rPr>
        <w:t>（</w:t>
      </w:r>
      <w:r>
        <w:rPr>
          <w:rFonts w:ascii="Arial" w:cs="Arial" w:eastAsia="Arial" w:hAnsi="Arial"/>
          <w:sz w:val="32"/>
          <w:szCs w:val="32"/>
          <w:color w:val="auto"/>
        </w:rPr>
        <w:t>3</w:t>
      </w:r>
      <w:r>
        <w:rPr>
          <w:rFonts w:ascii="宋体" w:cs="宋体" w:eastAsia="宋体" w:hAnsi="宋体"/>
          <w:sz w:val="32"/>
          <w:szCs w:val="32"/>
          <w:color w:val="auto"/>
        </w:rPr>
        <w:t>）可供出售金融资产评估值确定的方法和结论。</w:t>
      </w:r>
    </w:p>
    <w:p>
      <w:pPr>
        <w:spacing w:after="0" w:line="236" w:lineRule="exact"/>
        <w:rPr>
          <w:sz w:val="20"/>
          <w:szCs w:val="20"/>
          <w:color w:val="auto"/>
        </w:rPr>
      </w:pPr>
    </w:p>
    <w:p>
      <w:pPr>
        <w:ind w:left="1000"/>
        <w:spacing w:after="0" w:line="388" w:lineRule="exact"/>
        <w:rPr>
          <w:sz w:val="20"/>
          <w:szCs w:val="20"/>
          <w:color w:val="auto"/>
        </w:rPr>
      </w:pPr>
      <w:r>
        <w:rPr>
          <w:rFonts w:ascii="Arial" w:cs="Arial" w:eastAsia="Arial" w:hAnsi="Arial"/>
          <w:sz w:val="32"/>
          <w:szCs w:val="32"/>
          <w:color w:val="auto"/>
        </w:rPr>
        <w:t>11</w:t>
      </w:r>
      <w:r>
        <w:rPr>
          <w:rFonts w:ascii="宋体" w:cs="宋体" w:eastAsia="宋体" w:hAnsi="宋体"/>
          <w:sz w:val="32"/>
          <w:szCs w:val="32"/>
          <w:color w:val="auto"/>
        </w:rPr>
        <w:t>．持有至到期投资</w:t>
      </w:r>
    </w:p>
    <w:p>
      <w:pPr>
        <w:spacing w:after="0" w:line="236" w:lineRule="exact"/>
        <w:rPr>
          <w:sz w:val="20"/>
          <w:szCs w:val="20"/>
          <w:color w:val="auto"/>
        </w:rPr>
      </w:pPr>
    </w:p>
    <w:p>
      <w:pPr>
        <w:ind w:left="1000"/>
        <w:spacing w:after="0" w:line="388" w:lineRule="exact"/>
        <w:rPr>
          <w:sz w:val="20"/>
          <w:szCs w:val="20"/>
          <w:color w:val="auto"/>
        </w:rPr>
      </w:pPr>
      <w:r>
        <w:rPr>
          <w:rFonts w:ascii="宋体" w:cs="宋体" w:eastAsia="宋体" w:hAnsi="宋体"/>
          <w:sz w:val="32"/>
          <w:szCs w:val="32"/>
          <w:color w:val="auto"/>
        </w:rPr>
        <w:t>（</w:t>
      </w:r>
      <w:r>
        <w:rPr>
          <w:rFonts w:ascii="Arial" w:cs="Arial" w:eastAsia="Arial" w:hAnsi="Arial"/>
          <w:sz w:val="32"/>
          <w:szCs w:val="32"/>
          <w:color w:val="auto"/>
        </w:rPr>
        <w:t>1</w:t>
      </w:r>
      <w:r>
        <w:rPr>
          <w:rFonts w:ascii="宋体" w:cs="宋体" w:eastAsia="宋体" w:hAnsi="宋体"/>
          <w:sz w:val="32"/>
          <w:szCs w:val="32"/>
          <w:color w:val="auto"/>
        </w:rPr>
        <w:t>）持有至到期投资的内容和金额。</w:t>
      </w:r>
    </w:p>
    <w:p>
      <w:pPr>
        <w:spacing w:after="0" w:line="236" w:lineRule="exact"/>
        <w:rPr>
          <w:sz w:val="20"/>
          <w:szCs w:val="20"/>
          <w:color w:val="auto"/>
        </w:rPr>
      </w:pPr>
    </w:p>
    <w:p>
      <w:pPr>
        <w:ind w:left="1000"/>
        <w:spacing w:after="0" w:line="388" w:lineRule="exact"/>
        <w:rPr>
          <w:sz w:val="20"/>
          <w:szCs w:val="20"/>
          <w:color w:val="auto"/>
        </w:rPr>
      </w:pPr>
      <w:r>
        <w:rPr>
          <w:rFonts w:ascii="宋体" w:cs="宋体" w:eastAsia="宋体" w:hAnsi="宋体"/>
          <w:sz w:val="32"/>
          <w:szCs w:val="32"/>
          <w:color w:val="auto"/>
        </w:rPr>
        <w:t>（</w:t>
      </w:r>
      <w:r>
        <w:rPr>
          <w:rFonts w:ascii="Arial" w:cs="Arial" w:eastAsia="Arial" w:hAnsi="Arial"/>
          <w:sz w:val="32"/>
          <w:szCs w:val="32"/>
          <w:color w:val="auto"/>
        </w:rPr>
        <w:t>2</w:t>
      </w:r>
      <w:r>
        <w:rPr>
          <w:rFonts w:ascii="宋体" w:cs="宋体" w:eastAsia="宋体" w:hAnsi="宋体"/>
          <w:sz w:val="32"/>
          <w:szCs w:val="32"/>
          <w:color w:val="auto"/>
        </w:rPr>
        <w:t>）持有至到期投资核实的方法和结论。</w:t>
      </w:r>
    </w:p>
    <w:p>
      <w:pPr>
        <w:spacing w:after="0" w:line="236" w:lineRule="exact"/>
        <w:rPr>
          <w:sz w:val="20"/>
          <w:szCs w:val="20"/>
          <w:color w:val="auto"/>
        </w:rPr>
      </w:pPr>
    </w:p>
    <w:p>
      <w:pPr>
        <w:ind w:left="1000"/>
        <w:spacing w:after="0" w:line="388" w:lineRule="exact"/>
        <w:rPr>
          <w:sz w:val="20"/>
          <w:szCs w:val="20"/>
          <w:color w:val="auto"/>
        </w:rPr>
      </w:pPr>
      <w:r>
        <w:rPr>
          <w:rFonts w:ascii="宋体" w:cs="宋体" w:eastAsia="宋体" w:hAnsi="宋体"/>
          <w:sz w:val="32"/>
          <w:szCs w:val="32"/>
          <w:color w:val="auto"/>
        </w:rPr>
        <w:t>（</w:t>
      </w:r>
      <w:r>
        <w:rPr>
          <w:rFonts w:ascii="Arial" w:cs="Arial" w:eastAsia="Arial" w:hAnsi="Arial"/>
          <w:sz w:val="32"/>
          <w:szCs w:val="32"/>
          <w:color w:val="auto"/>
        </w:rPr>
        <w:t>3</w:t>
      </w:r>
      <w:r>
        <w:rPr>
          <w:rFonts w:ascii="宋体" w:cs="宋体" w:eastAsia="宋体" w:hAnsi="宋体"/>
          <w:sz w:val="32"/>
          <w:szCs w:val="32"/>
          <w:color w:val="auto"/>
        </w:rPr>
        <w:t>）持有至到期投资可以收回金额的判断理由，并说</w:t>
      </w:r>
    </w:p>
    <w:p>
      <w:pPr>
        <w:spacing w:after="0" w:line="259"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明评估值确定的方法和结论。</w:t>
      </w:r>
    </w:p>
    <w:p>
      <w:pPr>
        <w:spacing w:after="0" w:line="236" w:lineRule="exact"/>
        <w:rPr>
          <w:sz w:val="20"/>
          <w:szCs w:val="20"/>
          <w:color w:val="auto"/>
        </w:rPr>
      </w:pPr>
    </w:p>
    <w:p>
      <w:pPr>
        <w:ind w:left="1000"/>
        <w:spacing w:after="0" w:line="388" w:lineRule="exact"/>
        <w:rPr>
          <w:sz w:val="20"/>
          <w:szCs w:val="20"/>
          <w:color w:val="auto"/>
        </w:rPr>
      </w:pPr>
      <w:r>
        <w:rPr>
          <w:rFonts w:ascii="Arial" w:cs="Arial" w:eastAsia="Arial" w:hAnsi="Arial"/>
          <w:sz w:val="32"/>
          <w:szCs w:val="32"/>
          <w:color w:val="auto"/>
        </w:rPr>
        <w:t>12</w:t>
      </w:r>
      <w:r>
        <w:rPr>
          <w:rFonts w:ascii="宋体" w:cs="宋体" w:eastAsia="宋体" w:hAnsi="宋体"/>
          <w:sz w:val="32"/>
          <w:szCs w:val="32"/>
          <w:color w:val="auto"/>
        </w:rPr>
        <w:t>．长期股权投资</w:t>
      </w:r>
    </w:p>
    <w:p>
      <w:pPr>
        <w:spacing w:after="0" w:line="236" w:lineRule="exact"/>
        <w:rPr>
          <w:sz w:val="20"/>
          <w:szCs w:val="20"/>
          <w:color w:val="auto"/>
        </w:rPr>
      </w:pPr>
    </w:p>
    <w:p>
      <w:pPr>
        <w:ind w:left="1000"/>
        <w:spacing w:after="0" w:line="388" w:lineRule="exact"/>
        <w:rPr>
          <w:sz w:val="20"/>
          <w:szCs w:val="20"/>
          <w:color w:val="auto"/>
        </w:rPr>
      </w:pPr>
      <w:r>
        <w:rPr>
          <w:rFonts w:ascii="宋体" w:cs="宋体" w:eastAsia="宋体" w:hAnsi="宋体"/>
          <w:sz w:val="32"/>
          <w:szCs w:val="32"/>
          <w:color w:val="auto"/>
        </w:rPr>
        <w:t>（</w:t>
      </w:r>
      <w:r>
        <w:rPr>
          <w:rFonts w:ascii="Arial" w:cs="Arial" w:eastAsia="Arial" w:hAnsi="Arial"/>
          <w:sz w:val="32"/>
          <w:szCs w:val="32"/>
          <w:color w:val="auto"/>
        </w:rPr>
        <w:t>1</w:t>
      </w:r>
      <w:r>
        <w:rPr>
          <w:rFonts w:ascii="宋体" w:cs="宋体" w:eastAsia="宋体" w:hAnsi="宋体"/>
          <w:sz w:val="32"/>
          <w:szCs w:val="32"/>
          <w:color w:val="auto"/>
        </w:rPr>
        <w:t>）长期股权投资的内容和金额。</w:t>
      </w:r>
    </w:p>
    <w:p>
      <w:pPr>
        <w:spacing w:after="0" w:line="236" w:lineRule="exact"/>
        <w:rPr>
          <w:sz w:val="20"/>
          <w:szCs w:val="20"/>
          <w:color w:val="auto"/>
        </w:rPr>
      </w:pPr>
    </w:p>
    <w:p>
      <w:pPr>
        <w:ind w:left="1000"/>
        <w:spacing w:after="0" w:line="388" w:lineRule="exact"/>
        <w:rPr>
          <w:sz w:val="20"/>
          <w:szCs w:val="20"/>
          <w:color w:val="auto"/>
        </w:rPr>
      </w:pPr>
      <w:r>
        <w:rPr>
          <w:rFonts w:ascii="宋体" w:cs="宋体" w:eastAsia="宋体" w:hAnsi="宋体"/>
          <w:sz w:val="32"/>
          <w:szCs w:val="32"/>
          <w:color w:val="auto"/>
        </w:rPr>
        <w:t>（</w:t>
      </w:r>
      <w:r>
        <w:rPr>
          <w:rFonts w:ascii="Arial" w:cs="Arial" w:eastAsia="Arial" w:hAnsi="Arial"/>
          <w:sz w:val="32"/>
          <w:szCs w:val="32"/>
          <w:color w:val="auto"/>
        </w:rPr>
        <w:t>2</w:t>
      </w:r>
      <w:r>
        <w:rPr>
          <w:rFonts w:ascii="宋体" w:cs="宋体" w:eastAsia="宋体" w:hAnsi="宋体"/>
          <w:sz w:val="32"/>
          <w:szCs w:val="32"/>
          <w:color w:val="auto"/>
        </w:rPr>
        <w:t>）长期股权投资核实的内容（投资日期、持股比例、</w:t>
      </w:r>
    </w:p>
    <w:p>
      <w:pPr>
        <w:spacing w:after="0" w:line="259"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投资协议等）、方法和结论。</w:t>
      </w:r>
    </w:p>
    <w:p>
      <w:pPr>
        <w:spacing w:after="0" w:line="236" w:lineRule="exact"/>
        <w:rPr>
          <w:sz w:val="20"/>
          <w:szCs w:val="20"/>
          <w:color w:val="auto"/>
        </w:rPr>
      </w:pPr>
    </w:p>
    <w:p>
      <w:pPr>
        <w:ind w:left="1000"/>
        <w:spacing w:after="0" w:line="388" w:lineRule="exact"/>
        <w:rPr>
          <w:sz w:val="20"/>
          <w:szCs w:val="20"/>
          <w:color w:val="auto"/>
        </w:rPr>
      </w:pPr>
      <w:r>
        <w:rPr>
          <w:rFonts w:ascii="宋体" w:cs="宋体" w:eastAsia="宋体" w:hAnsi="宋体"/>
          <w:sz w:val="32"/>
          <w:szCs w:val="32"/>
          <w:color w:val="auto"/>
        </w:rPr>
        <w:t>（</w:t>
      </w:r>
      <w:r>
        <w:rPr>
          <w:rFonts w:ascii="Arial" w:cs="Arial" w:eastAsia="Arial" w:hAnsi="Arial"/>
          <w:sz w:val="32"/>
          <w:szCs w:val="32"/>
          <w:color w:val="auto"/>
        </w:rPr>
        <w:t>3</w:t>
      </w:r>
      <w:r>
        <w:rPr>
          <w:rFonts w:ascii="宋体" w:cs="宋体" w:eastAsia="宋体" w:hAnsi="宋体"/>
          <w:sz w:val="32"/>
          <w:szCs w:val="32"/>
          <w:color w:val="auto"/>
        </w:rPr>
        <w:t>）对长期股权投资项目进行分析，根据相关项目的</w:t>
      </w:r>
    </w:p>
    <w:p>
      <w:pPr>
        <w:spacing w:after="0" w:line="271" w:lineRule="exact"/>
        <w:rPr>
          <w:sz w:val="20"/>
          <w:szCs w:val="20"/>
          <w:color w:val="auto"/>
        </w:rPr>
      </w:pPr>
    </w:p>
    <w:p>
      <w:pPr>
        <w:ind w:left="360"/>
        <w:spacing w:after="0" w:line="354" w:lineRule="exact"/>
        <w:rPr>
          <w:sz w:val="20"/>
          <w:szCs w:val="20"/>
          <w:color w:val="auto"/>
        </w:rPr>
      </w:pPr>
      <w:r>
        <w:rPr>
          <w:rFonts w:ascii="宋体" w:cs="宋体" w:eastAsia="宋体" w:hAnsi="宋体"/>
          <w:sz w:val="31"/>
          <w:szCs w:val="31"/>
          <w:color w:val="auto"/>
        </w:rPr>
        <w:t>具体资产、盈利状况及其对评估对象价值的影响程度等因素，</w:t>
      </w:r>
    </w:p>
    <w:p>
      <w:pPr>
        <w:spacing w:after="0" w:line="270" w:lineRule="exact"/>
        <w:rPr>
          <w:sz w:val="20"/>
          <w:szCs w:val="20"/>
          <w:color w:val="auto"/>
        </w:rPr>
      </w:pPr>
    </w:p>
    <w:p>
      <w:pPr>
        <w:jc w:val="center"/>
        <w:ind w:right="6"/>
        <w:spacing w:after="0" w:line="354" w:lineRule="exact"/>
        <w:rPr>
          <w:sz w:val="20"/>
          <w:szCs w:val="20"/>
          <w:color w:val="auto"/>
        </w:rPr>
      </w:pPr>
      <w:r>
        <w:rPr>
          <w:rFonts w:ascii="宋体" w:cs="宋体" w:eastAsia="宋体" w:hAnsi="宋体"/>
          <w:sz w:val="31"/>
          <w:szCs w:val="31"/>
          <w:color w:val="auto"/>
        </w:rPr>
        <w:t>合理确定是否将其单独评估。对于不单独出具评估说明的各</w:t>
      </w:r>
    </w:p>
    <w:p>
      <w:pPr>
        <w:spacing w:after="0" w:line="270" w:lineRule="exact"/>
        <w:rPr>
          <w:sz w:val="20"/>
          <w:szCs w:val="20"/>
          <w:color w:val="auto"/>
        </w:rPr>
      </w:pPr>
    </w:p>
    <w:p>
      <w:pPr>
        <w:jc w:val="center"/>
        <w:ind w:right="6"/>
        <w:spacing w:after="0" w:line="354" w:lineRule="exact"/>
        <w:rPr>
          <w:sz w:val="20"/>
          <w:szCs w:val="20"/>
          <w:color w:val="auto"/>
        </w:rPr>
      </w:pPr>
      <w:r>
        <w:rPr>
          <w:rFonts w:ascii="宋体" w:cs="宋体" w:eastAsia="宋体" w:hAnsi="宋体"/>
          <w:sz w:val="31"/>
          <w:szCs w:val="31"/>
          <w:color w:val="auto"/>
        </w:rPr>
        <w:t>级子公司，应当在其上级公司的评估说明中详细说明其评估</w:t>
      </w:r>
    </w:p>
    <w:p>
      <w:pPr>
        <w:sectPr>
          <w:pgSz w:w="11900" w:h="16838" w:orient="portrait"/>
          <w:cols w:equalWidth="0" w:num="1">
            <w:col w:w="9026"/>
          </w:cols>
          <w:pgMar w:left="1440" w:top="1440" w:right="1440" w:bottom="1440" w:gutter="0" w:footer="0" w:header="0"/>
        </w:sectPr>
      </w:pPr>
    </w:p>
    <w:bookmarkStart w:id="34" w:name="page35"/>
    <w:bookmarkEnd w:id="34"/>
    <w:p>
      <w:pPr>
        <w:spacing w:after="0" w:line="104"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方法，披露其重大事项。</w:t>
      </w:r>
    </w:p>
    <w:p>
      <w:pPr>
        <w:spacing w:after="0" w:line="237" w:lineRule="exact"/>
        <w:rPr>
          <w:sz w:val="20"/>
          <w:szCs w:val="20"/>
          <w:color w:val="auto"/>
        </w:rPr>
      </w:pPr>
    </w:p>
    <w:p>
      <w:pPr>
        <w:ind w:left="1000"/>
        <w:spacing w:after="0" w:line="388" w:lineRule="exact"/>
        <w:rPr>
          <w:sz w:val="20"/>
          <w:szCs w:val="20"/>
          <w:color w:val="auto"/>
        </w:rPr>
      </w:pPr>
      <w:r>
        <w:rPr>
          <w:rFonts w:ascii="宋体" w:cs="宋体" w:eastAsia="宋体" w:hAnsi="宋体"/>
          <w:sz w:val="32"/>
          <w:szCs w:val="32"/>
          <w:color w:val="auto"/>
        </w:rPr>
        <w:t>（</w:t>
      </w:r>
      <w:r>
        <w:rPr>
          <w:rFonts w:ascii="Arial" w:cs="Arial" w:eastAsia="Arial" w:hAnsi="Arial"/>
          <w:sz w:val="32"/>
          <w:szCs w:val="32"/>
          <w:color w:val="auto"/>
        </w:rPr>
        <w:t>4</w:t>
      </w:r>
      <w:r>
        <w:rPr>
          <w:rFonts w:ascii="宋体" w:cs="宋体" w:eastAsia="宋体" w:hAnsi="宋体"/>
          <w:sz w:val="32"/>
          <w:szCs w:val="32"/>
          <w:color w:val="auto"/>
        </w:rPr>
        <w:t>）以适当方式说明各级子公司采用的评估方法及理</w:t>
      </w:r>
    </w:p>
    <w:p>
      <w:pPr>
        <w:spacing w:after="0" w:line="270" w:lineRule="exact"/>
        <w:rPr>
          <w:sz w:val="20"/>
          <w:szCs w:val="20"/>
          <w:color w:val="auto"/>
        </w:rPr>
      </w:pPr>
    </w:p>
    <w:p>
      <w:pPr>
        <w:ind w:left="360"/>
        <w:spacing w:after="0" w:line="354" w:lineRule="exact"/>
        <w:rPr>
          <w:sz w:val="20"/>
          <w:szCs w:val="20"/>
          <w:color w:val="auto"/>
        </w:rPr>
      </w:pPr>
      <w:r>
        <w:rPr>
          <w:rFonts w:ascii="宋体" w:cs="宋体" w:eastAsia="宋体" w:hAnsi="宋体"/>
          <w:sz w:val="31"/>
          <w:szCs w:val="31"/>
          <w:color w:val="auto"/>
        </w:rPr>
        <w:t>由和评估结论。若各级子公司采用两种及两种以上方法评估，</w:t>
      </w:r>
    </w:p>
    <w:p>
      <w:pPr>
        <w:spacing w:after="0" w:line="259"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应当说明评估结论的选择方法及理由。</w:t>
      </w:r>
    </w:p>
    <w:p>
      <w:pPr>
        <w:spacing w:after="0" w:line="236" w:lineRule="exact"/>
        <w:rPr>
          <w:sz w:val="20"/>
          <w:szCs w:val="20"/>
          <w:color w:val="auto"/>
        </w:rPr>
      </w:pPr>
    </w:p>
    <w:p>
      <w:pPr>
        <w:ind w:left="1000"/>
        <w:spacing w:after="0" w:line="388" w:lineRule="exact"/>
        <w:rPr>
          <w:sz w:val="20"/>
          <w:szCs w:val="20"/>
          <w:color w:val="auto"/>
        </w:rPr>
      </w:pPr>
      <w:r>
        <w:rPr>
          <w:rFonts w:ascii="Arial" w:cs="Arial" w:eastAsia="Arial" w:hAnsi="Arial"/>
          <w:sz w:val="32"/>
          <w:szCs w:val="32"/>
          <w:color w:val="auto"/>
        </w:rPr>
        <w:t>13</w:t>
      </w:r>
      <w:r>
        <w:rPr>
          <w:rFonts w:ascii="宋体" w:cs="宋体" w:eastAsia="宋体" w:hAnsi="宋体"/>
          <w:sz w:val="32"/>
          <w:szCs w:val="32"/>
          <w:color w:val="auto"/>
        </w:rPr>
        <w:t>．投资性房地产</w:t>
      </w:r>
    </w:p>
    <w:p>
      <w:pPr>
        <w:spacing w:after="0" w:line="236" w:lineRule="exact"/>
        <w:rPr>
          <w:sz w:val="20"/>
          <w:szCs w:val="20"/>
          <w:color w:val="auto"/>
        </w:rPr>
      </w:pPr>
    </w:p>
    <w:p>
      <w:pPr>
        <w:ind w:left="1000"/>
        <w:spacing w:after="0" w:line="388" w:lineRule="exact"/>
        <w:rPr>
          <w:sz w:val="20"/>
          <w:szCs w:val="20"/>
          <w:color w:val="auto"/>
        </w:rPr>
      </w:pPr>
      <w:r>
        <w:rPr>
          <w:rFonts w:ascii="宋体" w:cs="宋体" w:eastAsia="宋体" w:hAnsi="宋体"/>
          <w:sz w:val="32"/>
          <w:szCs w:val="32"/>
          <w:color w:val="auto"/>
        </w:rPr>
        <w:t>（</w:t>
      </w:r>
      <w:r>
        <w:rPr>
          <w:rFonts w:ascii="Arial" w:cs="Arial" w:eastAsia="Arial" w:hAnsi="Arial"/>
          <w:sz w:val="32"/>
          <w:szCs w:val="32"/>
          <w:color w:val="auto"/>
        </w:rPr>
        <w:t>1</w:t>
      </w:r>
      <w:r>
        <w:rPr>
          <w:rFonts w:ascii="宋体" w:cs="宋体" w:eastAsia="宋体" w:hAnsi="宋体"/>
          <w:sz w:val="32"/>
          <w:szCs w:val="32"/>
          <w:color w:val="auto"/>
        </w:rPr>
        <w:t>）投资性房地产的种类、内容和金额。</w:t>
      </w:r>
    </w:p>
    <w:p>
      <w:pPr>
        <w:spacing w:after="0" w:line="236" w:lineRule="exact"/>
        <w:rPr>
          <w:sz w:val="20"/>
          <w:szCs w:val="20"/>
          <w:color w:val="auto"/>
        </w:rPr>
      </w:pPr>
    </w:p>
    <w:p>
      <w:pPr>
        <w:ind w:left="1000"/>
        <w:spacing w:after="0" w:line="388" w:lineRule="exact"/>
        <w:rPr>
          <w:sz w:val="20"/>
          <w:szCs w:val="20"/>
          <w:color w:val="auto"/>
        </w:rPr>
      </w:pPr>
      <w:r>
        <w:rPr>
          <w:rFonts w:ascii="宋体" w:cs="宋体" w:eastAsia="宋体" w:hAnsi="宋体"/>
          <w:sz w:val="32"/>
          <w:szCs w:val="32"/>
          <w:color w:val="auto"/>
        </w:rPr>
        <w:t>（</w:t>
      </w:r>
      <w:r>
        <w:rPr>
          <w:rFonts w:ascii="Arial" w:cs="Arial" w:eastAsia="Arial" w:hAnsi="Arial"/>
          <w:sz w:val="32"/>
          <w:szCs w:val="32"/>
          <w:color w:val="auto"/>
        </w:rPr>
        <w:t>2</w:t>
      </w:r>
      <w:r>
        <w:rPr>
          <w:rFonts w:ascii="宋体" w:cs="宋体" w:eastAsia="宋体" w:hAnsi="宋体"/>
          <w:sz w:val="32"/>
          <w:szCs w:val="32"/>
          <w:color w:val="auto"/>
        </w:rPr>
        <w:t>）投资性房地产核实的方法和结论，并应当说明投</w:t>
      </w:r>
    </w:p>
    <w:p>
      <w:pPr>
        <w:spacing w:after="0" w:line="260"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资性房地产权属资料的查验情况，租赁合同约定的租金、租</w:t>
      </w:r>
    </w:p>
    <w:p>
      <w:pPr>
        <w:spacing w:after="0" w:line="259"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赁期限等内容。</w:t>
      </w:r>
    </w:p>
    <w:p>
      <w:pPr>
        <w:spacing w:after="0" w:line="236" w:lineRule="exact"/>
        <w:rPr>
          <w:sz w:val="20"/>
          <w:szCs w:val="20"/>
          <w:color w:val="auto"/>
        </w:rPr>
      </w:pPr>
    </w:p>
    <w:p>
      <w:pPr>
        <w:ind w:left="1000"/>
        <w:spacing w:after="0" w:line="388" w:lineRule="exact"/>
        <w:rPr>
          <w:sz w:val="20"/>
          <w:szCs w:val="20"/>
          <w:color w:val="auto"/>
        </w:rPr>
      </w:pPr>
      <w:r>
        <w:rPr>
          <w:rFonts w:ascii="宋体" w:cs="宋体" w:eastAsia="宋体" w:hAnsi="宋体"/>
          <w:sz w:val="32"/>
          <w:szCs w:val="32"/>
          <w:color w:val="auto"/>
        </w:rPr>
        <w:t>（</w:t>
      </w:r>
      <w:r>
        <w:rPr>
          <w:rFonts w:ascii="Arial" w:cs="Arial" w:eastAsia="Arial" w:hAnsi="Arial"/>
          <w:sz w:val="32"/>
          <w:szCs w:val="32"/>
          <w:color w:val="auto"/>
        </w:rPr>
        <w:t>3</w:t>
      </w:r>
      <w:r>
        <w:rPr>
          <w:rFonts w:ascii="宋体" w:cs="宋体" w:eastAsia="宋体" w:hAnsi="宋体"/>
          <w:sz w:val="32"/>
          <w:szCs w:val="32"/>
          <w:color w:val="auto"/>
        </w:rPr>
        <w:t>）采用收益法评估投资性房地产，应当说明现实租</w:t>
      </w:r>
    </w:p>
    <w:p>
      <w:pPr>
        <w:spacing w:after="0" w:line="259"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赁合同约定的租金、租赁期限，租赁合同到期后租金的确定</w:t>
      </w:r>
    </w:p>
    <w:p>
      <w:pPr>
        <w:spacing w:after="0" w:line="259"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方法，折现率确定方法和结论，评估值确定的方法和结论；</w:t>
      </w:r>
    </w:p>
    <w:p>
      <w:pPr>
        <w:spacing w:after="0" w:line="259"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采用市场法评估投资性房地产，应当说明可比交易实例的选</w:t>
      </w:r>
    </w:p>
    <w:p>
      <w:pPr>
        <w:spacing w:after="0" w:line="259"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取、可比因素比较调整、评估值确定的方法和结论。</w:t>
      </w:r>
    </w:p>
    <w:p>
      <w:pPr>
        <w:spacing w:after="0" w:line="236" w:lineRule="exact"/>
        <w:rPr>
          <w:sz w:val="20"/>
          <w:szCs w:val="20"/>
          <w:color w:val="auto"/>
        </w:rPr>
      </w:pPr>
    </w:p>
    <w:p>
      <w:pPr>
        <w:ind w:left="1000"/>
        <w:spacing w:after="0" w:line="388" w:lineRule="exact"/>
        <w:rPr>
          <w:sz w:val="20"/>
          <w:szCs w:val="20"/>
          <w:color w:val="auto"/>
        </w:rPr>
      </w:pPr>
      <w:r>
        <w:rPr>
          <w:rFonts w:ascii="Arial" w:cs="Arial" w:eastAsia="Arial" w:hAnsi="Arial"/>
          <w:sz w:val="32"/>
          <w:szCs w:val="32"/>
          <w:color w:val="auto"/>
        </w:rPr>
        <w:t>14</w:t>
      </w:r>
      <w:r>
        <w:rPr>
          <w:rFonts w:ascii="宋体" w:cs="宋体" w:eastAsia="宋体" w:hAnsi="宋体"/>
          <w:sz w:val="32"/>
          <w:szCs w:val="32"/>
          <w:color w:val="auto"/>
        </w:rPr>
        <w:t>．固定资产</w:t>
      </w:r>
    </w:p>
    <w:p>
      <w:pPr>
        <w:spacing w:after="0" w:line="236" w:lineRule="exact"/>
        <w:rPr>
          <w:sz w:val="20"/>
          <w:szCs w:val="20"/>
          <w:color w:val="auto"/>
        </w:rPr>
      </w:pPr>
    </w:p>
    <w:p>
      <w:pPr>
        <w:ind w:left="1000"/>
        <w:spacing w:after="0" w:line="388" w:lineRule="exact"/>
        <w:rPr>
          <w:sz w:val="20"/>
          <w:szCs w:val="20"/>
          <w:color w:val="auto"/>
        </w:rPr>
      </w:pPr>
      <w:r>
        <w:rPr>
          <w:rFonts w:ascii="宋体" w:cs="宋体" w:eastAsia="宋体" w:hAnsi="宋体"/>
          <w:sz w:val="32"/>
          <w:szCs w:val="32"/>
          <w:color w:val="auto"/>
        </w:rPr>
        <w:t>（</w:t>
      </w:r>
      <w:r>
        <w:rPr>
          <w:rFonts w:ascii="Arial" w:cs="Arial" w:eastAsia="Arial" w:hAnsi="Arial"/>
          <w:sz w:val="32"/>
          <w:szCs w:val="32"/>
          <w:color w:val="auto"/>
        </w:rPr>
        <w:t>1</w:t>
      </w:r>
      <w:r>
        <w:rPr>
          <w:rFonts w:ascii="宋体" w:cs="宋体" w:eastAsia="宋体" w:hAnsi="宋体"/>
          <w:sz w:val="32"/>
          <w:szCs w:val="32"/>
          <w:color w:val="auto"/>
        </w:rPr>
        <w:t>）机器设备类固定资产</w:t>
      </w:r>
    </w:p>
    <w:p>
      <w:pPr>
        <w:spacing w:after="0" w:line="236" w:lineRule="exact"/>
        <w:rPr>
          <w:sz w:val="20"/>
          <w:szCs w:val="20"/>
          <w:color w:val="auto"/>
        </w:rPr>
      </w:pPr>
    </w:p>
    <w:p>
      <w:pPr>
        <w:ind w:left="1000"/>
        <w:spacing w:after="0" w:line="388" w:lineRule="exact"/>
        <w:rPr>
          <w:sz w:val="20"/>
          <w:szCs w:val="20"/>
          <w:color w:val="auto"/>
        </w:rPr>
      </w:pPr>
      <w:r>
        <w:rPr>
          <w:rFonts w:ascii="Arial" w:cs="Arial" w:eastAsia="Arial" w:hAnsi="Arial"/>
          <w:sz w:val="32"/>
          <w:szCs w:val="32"/>
          <w:color w:val="auto"/>
        </w:rPr>
        <w:t>1)</w:t>
      </w:r>
      <w:r>
        <w:rPr>
          <w:rFonts w:ascii="宋体" w:cs="宋体" w:eastAsia="宋体" w:hAnsi="宋体"/>
          <w:sz w:val="32"/>
          <w:szCs w:val="32"/>
          <w:color w:val="auto"/>
        </w:rPr>
        <w:t>机器设备类固定资产的数量、账面原值、账面净值、</w:t>
      </w:r>
    </w:p>
    <w:p>
      <w:pPr>
        <w:spacing w:after="0" w:line="259"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减值准备等。</w:t>
      </w:r>
    </w:p>
    <w:p>
      <w:pPr>
        <w:spacing w:after="0" w:line="236" w:lineRule="exact"/>
        <w:rPr>
          <w:sz w:val="20"/>
          <w:szCs w:val="20"/>
          <w:color w:val="auto"/>
        </w:rPr>
      </w:pPr>
    </w:p>
    <w:p>
      <w:pPr>
        <w:ind w:left="1000"/>
        <w:spacing w:after="0" w:line="388" w:lineRule="exact"/>
        <w:rPr>
          <w:sz w:val="20"/>
          <w:szCs w:val="20"/>
          <w:color w:val="auto"/>
        </w:rPr>
      </w:pPr>
      <w:r>
        <w:rPr>
          <w:rFonts w:ascii="Arial" w:cs="Arial" w:eastAsia="Arial" w:hAnsi="Arial"/>
          <w:sz w:val="32"/>
          <w:szCs w:val="32"/>
          <w:color w:val="auto"/>
        </w:rPr>
        <w:t>2)</w:t>
      </w:r>
      <w:r>
        <w:rPr>
          <w:rFonts w:ascii="宋体" w:cs="宋体" w:eastAsia="宋体" w:hAnsi="宋体"/>
          <w:sz w:val="32"/>
          <w:szCs w:val="32"/>
          <w:color w:val="auto"/>
        </w:rPr>
        <w:t>机器设备类固定资产的特点、购置方式、批量购置价</w:t>
      </w:r>
    </w:p>
    <w:p>
      <w:pPr>
        <w:spacing w:after="0" w:line="260"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格情况、折旧及计提减值方法等。</w:t>
      </w:r>
    </w:p>
    <w:p>
      <w:pPr>
        <w:spacing w:after="0" w:line="236" w:lineRule="exact"/>
        <w:rPr>
          <w:sz w:val="20"/>
          <w:szCs w:val="20"/>
          <w:color w:val="auto"/>
        </w:rPr>
      </w:pPr>
    </w:p>
    <w:p>
      <w:pPr>
        <w:ind w:left="1000"/>
        <w:spacing w:after="0" w:line="388" w:lineRule="exact"/>
        <w:rPr>
          <w:sz w:val="20"/>
          <w:szCs w:val="20"/>
          <w:color w:val="auto"/>
        </w:rPr>
      </w:pPr>
      <w:r>
        <w:rPr>
          <w:rFonts w:ascii="Arial" w:cs="Arial" w:eastAsia="Arial" w:hAnsi="Arial"/>
          <w:sz w:val="32"/>
          <w:szCs w:val="32"/>
          <w:color w:val="auto"/>
        </w:rPr>
        <w:t>3)</w:t>
      </w:r>
      <w:r>
        <w:rPr>
          <w:rFonts w:ascii="宋体" w:cs="宋体" w:eastAsia="宋体" w:hAnsi="宋体"/>
          <w:sz w:val="32"/>
          <w:szCs w:val="32"/>
          <w:color w:val="auto"/>
        </w:rPr>
        <w:t>机器设备类固定资产核实的方法和结论。</w:t>
      </w:r>
    </w:p>
    <w:p>
      <w:pPr>
        <w:spacing w:after="0" w:line="236" w:lineRule="exact"/>
        <w:rPr>
          <w:sz w:val="20"/>
          <w:szCs w:val="20"/>
          <w:color w:val="auto"/>
        </w:rPr>
      </w:pPr>
    </w:p>
    <w:p>
      <w:pPr>
        <w:ind w:left="1000"/>
        <w:spacing w:after="0" w:line="388" w:lineRule="exact"/>
        <w:rPr>
          <w:sz w:val="20"/>
          <w:szCs w:val="20"/>
          <w:color w:val="auto"/>
        </w:rPr>
      </w:pPr>
      <w:r>
        <w:rPr>
          <w:rFonts w:ascii="Arial" w:cs="Arial" w:eastAsia="Arial" w:hAnsi="Arial"/>
          <w:sz w:val="32"/>
          <w:szCs w:val="32"/>
          <w:color w:val="auto"/>
        </w:rPr>
        <w:t>4)</w:t>
      </w:r>
      <w:r>
        <w:rPr>
          <w:rFonts w:ascii="宋体" w:cs="宋体" w:eastAsia="宋体" w:hAnsi="宋体"/>
          <w:sz w:val="32"/>
          <w:szCs w:val="32"/>
          <w:color w:val="auto"/>
        </w:rPr>
        <w:t>评估方法选取的依据和理由，并列示主要计算公式、</w:t>
      </w:r>
    </w:p>
    <w:p>
      <w:pPr>
        <w:sectPr>
          <w:pgSz w:w="11900" w:h="16838" w:orient="portrait"/>
          <w:cols w:equalWidth="0" w:num="1">
            <w:col w:w="9026"/>
          </w:cols>
          <w:pgMar w:left="1440" w:top="1440" w:right="1440" w:bottom="1440" w:gutter="0" w:footer="0" w:header="0"/>
        </w:sectPr>
      </w:pPr>
    </w:p>
    <w:bookmarkStart w:id="35" w:name="page36"/>
    <w:bookmarkEnd w:id="35"/>
    <w:p>
      <w:pPr>
        <w:spacing w:after="0" w:line="104"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参数涵义及参数确定的方法。</w:t>
      </w:r>
    </w:p>
    <w:p>
      <w:pPr>
        <w:spacing w:after="0" w:line="237" w:lineRule="exact"/>
        <w:rPr>
          <w:sz w:val="20"/>
          <w:szCs w:val="20"/>
          <w:color w:val="auto"/>
        </w:rPr>
      </w:pPr>
    </w:p>
    <w:p>
      <w:pPr>
        <w:ind w:left="1000"/>
        <w:spacing w:after="0" w:line="388" w:lineRule="exact"/>
        <w:rPr>
          <w:sz w:val="20"/>
          <w:szCs w:val="20"/>
          <w:color w:val="auto"/>
        </w:rPr>
      </w:pPr>
      <w:r>
        <w:rPr>
          <w:rFonts w:ascii="Arial" w:cs="Arial" w:eastAsia="Arial" w:hAnsi="Arial"/>
          <w:sz w:val="32"/>
          <w:szCs w:val="32"/>
          <w:color w:val="auto"/>
        </w:rPr>
        <w:t>5)</w:t>
      </w:r>
      <w:r>
        <w:rPr>
          <w:rFonts w:ascii="宋体" w:cs="宋体" w:eastAsia="宋体" w:hAnsi="宋体"/>
          <w:sz w:val="32"/>
          <w:szCs w:val="32"/>
          <w:color w:val="auto"/>
        </w:rPr>
        <w:t>采用成本法评估，应当说明重置全价的构成、各费用</w:t>
      </w:r>
    </w:p>
    <w:p>
      <w:pPr>
        <w:spacing w:after="0" w:line="259"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项目的测算过程、采用的价格和费用标准等；说明设备成新</w:t>
      </w:r>
    </w:p>
    <w:p>
      <w:pPr>
        <w:spacing w:after="0" w:line="259"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状况。</w:t>
      </w:r>
    </w:p>
    <w:p>
      <w:pPr>
        <w:spacing w:after="0" w:line="236" w:lineRule="exact"/>
        <w:rPr>
          <w:sz w:val="20"/>
          <w:szCs w:val="20"/>
          <w:color w:val="auto"/>
        </w:rPr>
      </w:pPr>
    </w:p>
    <w:p>
      <w:pPr>
        <w:ind w:left="1000"/>
        <w:spacing w:after="0" w:line="388" w:lineRule="exact"/>
        <w:rPr>
          <w:sz w:val="20"/>
          <w:szCs w:val="20"/>
          <w:color w:val="auto"/>
        </w:rPr>
      </w:pPr>
      <w:r>
        <w:rPr>
          <w:rFonts w:ascii="Arial" w:cs="Arial" w:eastAsia="Arial" w:hAnsi="Arial"/>
          <w:sz w:val="32"/>
          <w:szCs w:val="32"/>
          <w:color w:val="auto"/>
        </w:rPr>
        <w:t>6)</w:t>
      </w:r>
      <w:r>
        <w:rPr>
          <w:rFonts w:ascii="宋体" w:cs="宋体" w:eastAsia="宋体" w:hAnsi="宋体"/>
          <w:sz w:val="32"/>
          <w:szCs w:val="32"/>
          <w:color w:val="auto"/>
        </w:rPr>
        <w:t>采用市场法评估，应当说明交易价格的基本内涵、交</w:t>
      </w:r>
    </w:p>
    <w:p>
      <w:pPr>
        <w:spacing w:after="0" w:line="259"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易时间等情况。</w:t>
      </w:r>
    </w:p>
    <w:p>
      <w:pPr>
        <w:spacing w:after="0" w:line="236" w:lineRule="exact"/>
        <w:rPr>
          <w:sz w:val="20"/>
          <w:szCs w:val="20"/>
          <w:color w:val="auto"/>
        </w:rPr>
      </w:pPr>
    </w:p>
    <w:p>
      <w:pPr>
        <w:ind w:left="1000"/>
        <w:spacing w:after="0" w:line="388" w:lineRule="exact"/>
        <w:rPr>
          <w:sz w:val="20"/>
          <w:szCs w:val="20"/>
          <w:color w:val="auto"/>
        </w:rPr>
      </w:pPr>
      <w:r>
        <w:rPr>
          <w:rFonts w:ascii="Arial" w:cs="Arial" w:eastAsia="Arial" w:hAnsi="Arial"/>
          <w:sz w:val="32"/>
          <w:szCs w:val="32"/>
          <w:color w:val="auto"/>
        </w:rPr>
        <w:t>7)</w:t>
      </w:r>
      <w:r>
        <w:rPr>
          <w:rFonts w:ascii="宋体" w:cs="宋体" w:eastAsia="宋体" w:hAnsi="宋体"/>
          <w:sz w:val="32"/>
          <w:szCs w:val="32"/>
          <w:color w:val="auto"/>
        </w:rPr>
        <w:t>根据评估业务的具体情况，应当选择典型设备（一般</w:t>
      </w:r>
    </w:p>
    <w:p>
      <w:pPr>
        <w:spacing w:after="0" w:line="260"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指单台金额大、技术典型的设备）举例说明评估参数的测算</w:t>
      </w:r>
    </w:p>
    <w:p>
      <w:pPr>
        <w:spacing w:after="0" w:line="259"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和判断以及评估值确定的方法、过程和结论。</w:t>
      </w:r>
    </w:p>
    <w:p>
      <w:pPr>
        <w:spacing w:after="0" w:line="236" w:lineRule="exact"/>
        <w:rPr>
          <w:sz w:val="20"/>
          <w:szCs w:val="20"/>
          <w:color w:val="auto"/>
        </w:rPr>
      </w:pPr>
    </w:p>
    <w:p>
      <w:pPr>
        <w:ind w:left="1000"/>
        <w:spacing w:after="0" w:line="388" w:lineRule="exact"/>
        <w:rPr>
          <w:sz w:val="20"/>
          <w:szCs w:val="20"/>
          <w:color w:val="auto"/>
        </w:rPr>
      </w:pPr>
      <w:r>
        <w:rPr>
          <w:rFonts w:ascii="宋体" w:cs="宋体" w:eastAsia="宋体" w:hAnsi="宋体"/>
          <w:sz w:val="32"/>
          <w:szCs w:val="32"/>
          <w:color w:val="auto"/>
        </w:rPr>
        <w:t>（</w:t>
      </w:r>
      <w:r>
        <w:rPr>
          <w:rFonts w:ascii="Arial" w:cs="Arial" w:eastAsia="Arial" w:hAnsi="Arial"/>
          <w:sz w:val="32"/>
          <w:szCs w:val="32"/>
          <w:color w:val="auto"/>
        </w:rPr>
        <w:t>2</w:t>
      </w:r>
      <w:r>
        <w:rPr>
          <w:rFonts w:ascii="宋体" w:cs="宋体" w:eastAsia="宋体" w:hAnsi="宋体"/>
          <w:sz w:val="32"/>
          <w:szCs w:val="32"/>
          <w:color w:val="auto"/>
        </w:rPr>
        <w:t>）房屋建筑物类固定资产</w:t>
      </w:r>
    </w:p>
    <w:p>
      <w:pPr>
        <w:spacing w:after="0" w:line="236" w:lineRule="exact"/>
        <w:rPr>
          <w:sz w:val="20"/>
          <w:szCs w:val="20"/>
          <w:color w:val="auto"/>
        </w:rPr>
      </w:pPr>
    </w:p>
    <w:p>
      <w:pPr>
        <w:ind w:left="1000"/>
        <w:spacing w:after="0" w:line="388" w:lineRule="exact"/>
        <w:rPr>
          <w:sz w:val="20"/>
          <w:szCs w:val="20"/>
          <w:color w:val="auto"/>
        </w:rPr>
      </w:pPr>
      <w:r>
        <w:rPr>
          <w:rFonts w:ascii="Arial" w:cs="Arial" w:eastAsia="Arial" w:hAnsi="Arial"/>
          <w:sz w:val="32"/>
          <w:szCs w:val="32"/>
          <w:color w:val="auto"/>
        </w:rPr>
        <w:t>1)</w:t>
      </w:r>
      <w:r>
        <w:rPr>
          <w:rFonts w:ascii="宋体" w:cs="宋体" w:eastAsia="宋体" w:hAnsi="宋体"/>
          <w:sz w:val="32"/>
          <w:szCs w:val="32"/>
          <w:color w:val="auto"/>
        </w:rPr>
        <w:t>房屋建筑物类固定资产的类型、数量、账面原值、账</w:t>
      </w:r>
    </w:p>
    <w:p>
      <w:pPr>
        <w:spacing w:after="0" w:line="259"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面净值、减值准备等。</w:t>
      </w:r>
    </w:p>
    <w:p>
      <w:pPr>
        <w:spacing w:after="0" w:line="236" w:lineRule="exact"/>
        <w:rPr>
          <w:sz w:val="20"/>
          <w:szCs w:val="20"/>
          <w:color w:val="auto"/>
        </w:rPr>
      </w:pPr>
    </w:p>
    <w:p>
      <w:pPr>
        <w:ind w:left="1000"/>
        <w:spacing w:after="0" w:line="388" w:lineRule="exact"/>
        <w:rPr>
          <w:sz w:val="20"/>
          <w:szCs w:val="20"/>
          <w:color w:val="auto"/>
        </w:rPr>
      </w:pPr>
      <w:r>
        <w:rPr>
          <w:rFonts w:ascii="Arial" w:cs="Arial" w:eastAsia="Arial" w:hAnsi="Arial"/>
          <w:sz w:val="32"/>
          <w:szCs w:val="32"/>
          <w:color w:val="auto"/>
        </w:rPr>
        <w:t>2)</w:t>
      </w:r>
      <w:r>
        <w:rPr>
          <w:rFonts w:ascii="宋体" w:cs="宋体" w:eastAsia="宋体" w:hAnsi="宋体"/>
          <w:sz w:val="32"/>
          <w:szCs w:val="32"/>
          <w:color w:val="auto"/>
        </w:rPr>
        <w:t>房屋建筑物类固定资产购建日期、结构形式、权属状</w:t>
      </w:r>
    </w:p>
    <w:p>
      <w:pPr>
        <w:spacing w:after="0" w:line="259"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况、日常维护、装潢情况、折旧及计提减值方法，以及房屋</w:t>
      </w:r>
    </w:p>
    <w:p>
      <w:pPr>
        <w:spacing w:after="0" w:line="259"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建筑物类固定资产所占用土地的情况。</w:t>
      </w:r>
    </w:p>
    <w:p>
      <w:pPr>
        <w:spacing w:after="0" w:line="236" w:lineRule="exact"/>
        <w:rPr>
          <w:sz w:val="20"/>
          <w:szCs w:val="20"/>
          <w:color w:val="auto"/>
        </w:rPr>
      </w:pPr>
    </w:p>
    <w:p>
      <w:pPr>
        <w:ind w:left="1000"/>
        <w:spacing w:after="0" w:line="388" w:lineRule="exact"/>
        <w:rPr>
          <w:sz w:val="20"/>
          <w:szCs w:val="20"/>
          <w:color w:val="auto"/>
        </w:rPr>
      </w:pPr>
      <w:r>
        <w:rPr>
          <w:rFonts w:ascii="Arial" w:cs="Arial" w:eastAsia="Arial" w:hAnsi="Arial"/>
          <w:sz w:val="32"/>
          <w:szCs w:val="32"/>
          <w:color w:val="auto"/>
        </w:rPr>
        <w:t>3)</w:t>
      </w:r>
      <w:r>
        <w:rPr>
          <w:rFonts w:ascii="宋体" w:cs="宋体" w:eastAsia="宋体" w:hAnsi="宋体"/>
          <w:sz w:val="32"/>
          <w:szCs w:val="32"/>
          <w:color w:val="auto"/>
        </w:rPr>
        <w:t>房屋建筑物类固定资产核实的方法和结论。</w:t>
      </w:r>
    </w:p>
    <w:p>
      <w:pPr>
        <w:spacing w:after="0" w:line="236" w:lineRule="exact"/>
        <w:rPr>
          <w:sz w:val="20"/>
          <w:szCs w:val="20"/>
          <w:color w:val="auto"/>
        </w:rPr>
      </w:pPr>
    </w:p>
    <w:p>
      <w:pPr>
        <w:ind w:left="1000"/>
        <w:spacing w:after="0" w:line="388" w:lineRule="exact"/>
        <w:rPr>
          <w:sz w:val="20"/>
          <w:szCs w:val="20"/>
          <w:color w:val="auto"/>
        </w:rPr>
      </w:pPr>
      <w:r>
        <w:rPr>
          <w:rFonts w:ascii="Arial" w:cs="Arial" w:eastAsia="Arial" w:hAnsi="Arial"/>
          <w:sz w:val="32"/>
          <w:szCs w:val="32"/>
          <w:color w:val="auto"/>
        </w:rPr>
        <w:t>4)</w:t>
      </w:r>
      <w:r>
        <w:rPr>
          <w:rFonts w:ascii="宋体" w:cs="宋体" w:eastAsia="宋体" w:hAnsi="宋体"/>
          <w:sz w:val="32"/>
          <w:szCs w:val="32"/>
          <w:color w:val="auto"/>
        </w:rPr>
        <w:t>评估方法选取的依据和理由，并列示主要计算公式、</w:t>
      </w:r>
    </w:p>
    <w:p>
      <w:pPr>
        <w:spacing w:after="0" w:line="259"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参数涵义及参数确定的方法。</w:t>
      </w:r>
    </w:p>
    <w:p>
      <w:pPr>
        <w:spacing w:after="0" w:line="236" w:lineRule="exact"/>
        <w:rPr>
          <w:sz w:val="20"/>
          <w:szCs w:val="20"/>
          <w:color w:val="auto"/>
        </w:rPr>
      </w:pPr>
    </w:p>
    <w:p>
      <w:pPr>
        <w:ind w:left="1000"/>
        <w:spacing w:after="0" w:line="388" w:lineRule="exact"/>
        <w:rPr>
          <w:sz w:val="20"/>
          <w:szCs w:val="20"/>
          <w:color w:val="auto"/>
        </w:rPr>
      </w:pPr>
      <w:r>
        <w:rPr>
          <w:rFonts w:ascii="Arial" w:cs="Arial" w:eastAsia="Arial" w:hAnsi="Arial"/>
          <w:sz w:val="32"/>
          <w:szCs w:val="32"/>
          <w:color w:val="auto"/>
        </w:rPr>
        <w:t>5)</w:t>
      </w:r>
      <w:r>
        <w:rPr>
          <w:rFonts w:ascii="宋体" w:cs="宋体" w:eastAsia="宋体" w:hAnsi="宋体"/>
          <w:sz w:val="32"/>
          <w:szCs w:val="32"/>
          <w:color w:val="auto"/>
        </w:rPr>
        <w:t>采用成本法评估，应当说明重置全价的构成、各费用</w:t>
      </w:r>
    </w:p>
    <w:p>
      <w:pPr>
        <w:spacing w:after="0" w:line="260"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项目的测算过程、采用的价格和费用标准等；说明房屋建筑</w:t>
      </w:r>
    </w:p>
    <w:p>
      <w:pPr>
        <w:spacing w:after="0" w:line="259"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物类资产成新状况。</w:t>
      </w:r>
    </w:p>
    <w:p>
      <w:pPr>
        <w:spacing w:after="0" w:line="236" w:lineRule="exact"/>
        <w:rPr>
          <w:sz w:val="20"/>
          <w:szCs w:val="20"/>
          <w:color w:val="auto"/>
        </w:rPr>
      </w:pPr>
    </w:p>
    <w:p>
      <w:pPr>
        <w:ind w:left="1000"/>
        <w:spacing w:after="0" w:line="388" w:lineRule="exact"/>
        <w:rPr>
          <w:sz w:val="20"/>
          <w:szCs w:val="20"/>
          <w:color w:val="auto"/>
        </w:rPr>
      </w:pPr>
      <w:r>
        <w:rPr>
          <w:rFonts w:ascii="Arial" w:cs="Arial" w:eastAsia="Arial" w:hAnsi="Arial"/>
          <w:sz w:val="32"/>
          <w:szCs w:val="32"/>
          <w:color w:val="auto"/>
        </w:rPr>
        <w:t>6)</w:t>
      </w:r>
      <w:r>
        <w:rPr>
          <w:rFonts w:ascii="宋体" w:cs="宋体" w:eastAsia="宋体" w:hAnsi="宋体"/>
          <w:sz w:val="32"/>
          <w:szCs w:val="32"/>
          <w:color w:val="auto"/>
        </w:rPr>
        <w:t>采用市场法评估，应当说明选取交易实例的依据或者</w:t>
      </w:r>
    </w:p>
    <w:p>
      <w:pPr>
        <w:sectPr>
          <w:pgSz w:w="11900" w:h="16838" w:orient="portrait"/>
          <w:cols w:equalWidth="0" w:num="1">
            <w:col w:w="9026"/>
          </w:cols>
          <w:pgMar w:left="1440" w:top="1440" w:right="1440" w:bottom="1440" w:gutter="0" w:footer="0" w:header="0"/>
        </w:sectPr>
      </w:pPr>
    </w:p>
    <w:bookmarkStart w:id="36" w:name="page37"/>
    <w:bookmarkEnd w:id="36"/>
    <w:p>
      <w:pPr>
        <w:spacing w:after="0" w:line="104"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理由、交易实例的基本情况、成交时间、交易状况及交易价</w:t>
      </w:r>
    </w:p>
    <w:p>
      <w:pPr>
        <w:spacing w:after="0" w:line="259"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格内涵等，对所选取的交易实例，应当全面介绍比较因素、</w:t>
      </w:r>
    </w:p>
    <w:p>
      <w:pPr>
        <w:spacing w:after="0" w:line="259"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比较结果以及评估值确定的方法。</w:t>
      </w:r>
    </w:p>
    <w:p>
      <w:pPr>
        <w:spacing w:after="0" w:line="236" w:lineRule="exact"/>
        <w:rPr>
          <w:sz w:val="20"/>
          <w:szCs w:val="20"/>
          <w:color w:val="auto"/>
        </w:rPr>
      </w:pPr>
    </w:p>
    <w:p>
      <w:pPr>
        <w:ind w:left="1000"/>
        <w:spacing w:after="0" w:line="388" w:lineRule="exact"/>
        <w:rPr>
          <w:sz w:val="20"/>
          <w:szCs w:val="20"/>
          <w:color w:val="auto"/>
        </w:rPr>
      </w:pPr>
      <w:r>
        <w:rPr>
          <w:rFonts w:ascii="Arial" w:cs="Arial" w:eastAsia="Arial" w:hAnsi="Arial"/>
          <w:sz w:val="32"/>
          <w:szCs w:val="32"/>
          <w:color w:val="auto"/>
        </w:rPr>
        <w:t>7)</w:t>
      </w:r>
      <w:r>
        <w:rPr>
          <w:rFonts w:ascii="宋体" w:cs="宋体" w:eastAsia="宋体" w:hAnsi="宋体"/>
          <w:sz w:val="32"/>
          <w:szCs w:val="32"/>
          <w:color w:val="auto"/>
        </w:rPr>
        <w:t>采用收益法评估，应当说明其租金预测情况，以及折</w:t>
      </w:r>
    </w:p>
    <w:p>
      <w:pPr>
        <w:spacing w:after="0" w:line="259"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现率确定的方法和结论。</w:t>
      </w:r>
    </w:p>
    <w:p>
      <w:pPr>
        <w:spacing w:after="0" w:line="236" w:lineRule="exact"/>
        <w:rPr>
          <w:sz w:val="20"/>
          <w:szCs w:val="20"/>
          <w:color w:val="auto"/>
        </w:rPr>
      </w:pPr>
    </w:p>
    <w:p>
      <w:pPr>
        <w:ind w:left="1000"/>
        <w:spacing w:after="0" w:line="388" w:lineRule="exact"/>
        <w:rPr>
          <w:sz w:val="20"/>
          <w:szCs w:val="20"/>
          <w:color w:val="auto"/>
        </w:rPr>
      </w:pPr>
      <w:r>
        <w:rPr>
          <w:rFonts w:ascii="Arial" w:cs="Arial" w:eastAsia="Arial" w:hAnsi="Arial"/>
          <w:sz w:val="32"/>
          <w:szCs w:val="32"/>
          <w:color w:val="auto"/>
        </w:rPr>
        <w:t>8)</w:t>
      </w:r>
      <w:r>
        <w:rPr>
          <w:rFonts w:ascii="宋体" w:cs="宋体" w:eastAsia="宋体" w:hAnsi="宋体"/>
          <w:sz w:val="32"/>
          <w:szCs w:val="32"/>
          <w:color w:val="auto"/>
        </w:rPr>
        <w:t>根据评估业务的具体情况，应当选择典型房屋建筑物</w:t>
      </w:r>
    </w:p>
    <w:p>
      <w:pPr>
        <w:spacing w:after="0" w:line="259"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举例说明评估参数的测算和判断以及评估值确定的方法和</w:t>
      </w:r>
    </w:p>
    <w:p>
      <w:pPr>
        <w:spacing w:after="0" w:line="260"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过程。</w:t>
      </w:r>
    </w:p>
    <w:p>
      <w:pPr>
        <w:spacing w:after="0" w:line="236" w:lineRule="exact"/>
        <w:rPr>
          <w:sz w:val="20"/>
          <w:szCs w:val="20"/>
          <w:color w:val="auto"/>
        </w:rPr>
      </w:pPr>
    </w:p>
    <w:p>
      <w:pPr>
        <w:ind w:left="1000"/>
        <w:spacing w:after="0" w:line="388" w:lineRule="exact"/>
        <w:rPr>
          <w:sz w:val="20"/>
          <w:szCs w:val="20"/>
          <w:color w:val="auto"/>
        </w:rPr>
      </w:pPr>
      <w:r>
        <w:rPr>
          <w:rFonts w:ascii="Arial" w:cs="Arial" w:eastAsia="Arial" w:hAnsi="Arial"/>
          <w:sz w:val="32"/>
          <w:szCs w:val="32"/>
          <w:color w:val="auto"/>
        </w:rPr>
        <w:t>9)</w:t>
      </w:r>
      <w:r>
        <w:rPr>
          <w:rFonts w:ascii="宋体" w:cs="宋体" w:eastAsia="宋体" w:hAnsi="宋体"/>
          <w:sz w:val="32"/>
          <w:szCs w:val="32"/>
          <w:color w:val="auto"/>
        </w:rPr>
        <w:t>对于在房屋建筑物科目核算的投资性房地产，应当按</w:t>
      </w:r>
    </w:p>
    <w:p>
      <w:pPr>
        <w:spacing w:after="0" w:line="259"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投资性房地产的要求编写评估技术说明。</w:t>
      </w:r>
    </w:p>
    <w:p>
      <w:pPr>
        <w:spacing w:after="0" w:line="236" w:lineRule="exact"/>
        <w:rPr>
          <w:sz w:val="20"/>
          <w:szCs w:val="20"/>
          <w:color w:val="auto"/>
        </w:rPr>
      </w:pPr>
    </w:p>
    <w:p>
      <w:pPr>
        <w:ind w:left="1000"/>
        <w:spacing w:after="0" w:line="388" w:lineRule="exact"/>
        <w:rPr>
          <w:sz w:val="20"/>
          <w:szCs w:val="20"/>
          <w:color w:val="auto"/>
        </w:rPr>
      </w:pPr>
      <w:r>
        <w:rPr>
          <w:rFonts w:ascii="Arial" w:cs="Arial" w:eastAsia="Arial" w:hAnsi="Arial"/>
          <w:sz w:val="32"/>
          <w:szCs w:val="32"/>
          <w:color w:val="auto"/>
        </w:rPr>
        <w:t>15</w:t>
      </w:r>
      <w:r>
        <w:rPr>
          <w:rFonts w:ascii="宋体" w:cs="宋体" w:eastAsia="宋体" w:hAnsi="宋体"/>
          <w:sz w:val="32"/>
          <w:szCs w:val="32"/>
          <w:color w:val="auto"/>
        </w:rPr>
        <w:t>．无形资产</w:t>
      </w:r>
    </w:p>
    <w:p>
      <w:pPr>
        <w:spacing w:after="0" w:line="236" w:lineRule="exact"/>
        <w:rPr>
          <w:sz w:val="20"/>
          <w:szCs w:val="20"/>
          <w:color w:val="auto"/>
        </w:rPr>
      </w:pPr>
    </w:p>
    <w:p>
      <w:pPr>
        <w:ind w:left="1000"/>
        <w:spacing w:after="0" w:line="388" w:lineRule="exact"/>
        <w:rPr>
          <w:sz w:val="20"/>
          <w:szCs w:val="20"/>
          <w:color w:val="auto"/>
        </w:rPr>
      </w:pPr>
      <w:r>
        <w:rPr>
          <w:rFonts w:ascii="宋体" w:cs="宋体" w:eastAsia="宋体" w:hAnsi="宋体"/>
          <w:sz w:val="32"/>
          <w:szCs w:val="32"/>
          <w:color w:val="auto"/>
        </w:rPr>
        <w:t>（</w:t>
      </w:r>
      <w:r>
        <w:rPr>
          <w:rFonts w:ascii="Arial" w:cs="Arial" w:eastAsia="Arial" w:hAnsi="Arial"/>
          <w:sz w:val="32"/>
          <w:szCs w:val="32"/>
          <w:color w:val="auto"/>
        </w:rPr>
        <w:t>1</w:t>
      </w:r>
      <w:r>
        <w:rPr>
          <w:rFonts w:ascii="宋体" w:cs="宋体" w:eastAsia="宋体" w:hAnsi="宋体"/>
          <w:sz w:val="32"/>
          <w:szCs w:val="32"/>
          <w:color w:val="auto"/>
        </w:rPr>
        <w:t>）土地使用权（含固定资产</w:t>
      </w:r>
      <w:r>
        <w:rPr>
          <w:rFonts w:ascii="Arial" w:cs="Arial" w:eastAsia="Arial" w:hAnsi="Arial"/>
          <w:sz w:val="32"/>
          <w:szCs w:val="32"/>
          <w:color w:val="auto"/>
        </w:rPr>
        <w:t>——</w:t>
      </w:r>
      <w:r>
        <w:rPr>
          <w:rFonts w:ascii="宋体" w:cs="宋体" w:eastAsia="宋体" w:hAnsi="宋体"/>
          <w:sz w:val="32"/>
          <w:szCs w:val="32"/>
          <w:color w:val="auto"/>
        </w:rPr>
        <w:t>土地）</w:t>
      </w:r>
    </w:p>
    <w:p>
      <w:pPr>
        <w:spacing w:after="0" w:line="236" w:lineRule="exact"/>
        <w:rPr>
          <w:sz w:val="20"/>
          <w:szCs w:val="20"/>
          <w:color w:val="auto"/>
        </w:rPr>
      </w:pPr>
    </w:p>
    <w:p>
      <w:pPr>
        <w:ind w:left="1000"/>
        <w:spacing w:after="0" w:line="388" w:lineRule="exact"/>
        <w:rPr>
          <w:sz w:val="20"/>
          <w:szCs w:val="20"/>
          <w:color w:val="auto"/>
        </w:rPr>
      </w:pPr>
      <w:r>
        <w:rPr>
          <w:rFonts w:ascii="Arial" w:cs="Arial" w:eastAsia="Arial" w:hAnsi="Arial"/>
          <w:sz w:val="32"/>
          <w:szCs w:val="32"/>
          <w:color w:val="auto"/>
        </w:rPr>
        <w:t>1)</w:t>
      </w:r>
      <w:r>
        <w:rPr>
          <w:rFonts w:ascii="宋体" w:cs="宋体" w:eastAsia="宋体" w:hAnsi="宋体"/>
          <w:sz w:val="32"/>
          <w:szCs w:val="32"/>
          <w:color w:val="auto"/>
        </w:rPr>
        <w:t>土地的宗数、面积，土地使用权取得方式、性质、原</w:t>
      </w:r>
    </w:p>
    <w:p>
      <w:pPr>
        <w:spacing w:after="0" w:line="259"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始入账价值、摊销政策、摊余价值等。</w:t>
      </w:r>
    </w:p>
    <w:p>
      <w:pPr>
        <w:spacing w:after="0" w:line="236" w:lineRule="exact"/>
        <w:rPr>
          <w:sz w:val="20"/>
          <w:szCs w:val="20"/>
          <w:color w:val="auto"/>
        </w:rPr>
      </w:pPr>
    </w:p>
    <w:p>
      <w:pPr>
        <w:ind w:left="1000"/>
        <w:spacing w:after="0" w:line="388" w:lineRule="exact"/>
        <w:rPr>
          <w:sz w:val="20"/>
          <w:szCs w:val="20"/>
          <w:color w:val="auto"/>
        </w:rPr>
      </w:pPr>
      <w:r>
        <w:rPr>
          <w:rFonts w:ascii="Arial" w:cs="Arial" w:eastAsia="Arial" w:hAnsi="Arial"/>
          <w:sz w:val="32"/>
          <w:szCs w:val="32"/>
          <w:color w:val="auto"/>
        </w:rPr>
        <w:t>2)</w:t>
      </w:r>
      <w:r>
        <w:rPr>
          <w:rFonts w:ascii="宋体" w:cs="宋体" w:eastAsia="宋体" w:hAnsi="宋体"/>
          <w:sz w:val="32"/>
          <w:szCs w:val="32"/>
          <w:color w:val="auto"/>
        </w:rPr>
        <w:t>土地的登记状况、权利状况、利用状况。土地的登记</w:t>
      </w:r>
    </w:p>
    <w:p>
      <w:pPr>
        <w:spacing w:after="0" w:line="270" w:lineRule="exact"/>
        <w:rPr>
          <w:sz w:val="20"/>
          <w:szCs w:val="20"/>
          <w:color w:val="auto"/>
        </w:rPr>
      </w:pPr>
    </w:p>
    <w:p>
      <w:pPr>
        <w:jc w:val="center"/>
        <w:ind w:right="6"/>
        <w:spacing w:after="0" w:line="354" w:lineRule="exact"/>
        <w:rPr>
          <w:sz w:val="20"/>
          <w:szCs w:val="20"/>
          <w:color w:val="auto"/>
        </w:rPr>
      </w:pPr>
      <w:r>
        <w:rPr>
          <w:rFonts w:ascii="宋体" w:cs="宋体" w:eastAsia="宋体" w:hAnsi="宋体"/>
          <w:sz w:val="31"/>
          <w:szCs w:val="31"/>
          <w:color w:val="auto"/>
        </w:rPr>
        <w:t>状况和权利状况，以土地登记、土地使用证和土地使用权出</w:t>
      </w:r>
    </w:p>
    <w:p>
      <w:pPr>
        <w:spacing w:after="0" w:line="259"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让合同中的有关内容为准，土地利用状况以建筑物、地上附</w:t>
      </w:r>
    </w:p>
    <w:p>
      <w:pPr>
        <w:spacing w:after="0" w:line="270" w:lineRule="exact"/>
        <w:rPr>
          <w:sz w:val="20"/>
          <w:szCs w:val="20"/>
          <w:color w:val="auto"/>
        </w:rPr>
      </w:pPr>
    </w:p>
    <w:p>
      <w:pPr>
        <w:jc w:val="center"/>
        <w:ind w:right="946"/>
        <w:spacing w:after="0" w:line="354" w:lineRule="exact"/>
        <w:rPr>
          <w:sz w:val="20"/>
          <w:szCs w:val="20"/>
          <w:color w:val="auto"/>
        </w:rPr>
      </w:pPr>
      <w:r>
        <w:rPr>
          <w:rFonts w:ascii="宋体" w:cs="宋体" w:eastAsia="宋体" w:hAnsi="宋体"/>
          <w:sz w:val="31"/>
          <w:szCs w:val="31"/>
          <w:color w:val="auto"/>
        </w:rPr>
        <w:t>着物等产权登记内容和实地勘查与调查的内容为准。</w:t>
      </w:r>
    </w:p>
    <w:p>
      <w:pPr>
        <w:spacing w:after="0" w:line="236" w:lineRule="exact"/>
        <w:rPr>
          <w:sz w:val="20"/>
          <w:szCs w:val="20"/>
          <w:color w:val="auto"/>
        </w:rPr>
      </w:pPr>
    </w:p>
    <w:p>
      <w:pPr>
        <w:ind w:left="1000"/>
        <w:spacing w:after="0" w:line="388" w:lineRule="exact"/>
        <w:rPr>
          <w:sz w:val="20"/>
          <w:szCs w:val="20"/>
          <w:color w:val="auto"/>
        </w:rPr>
      </w:pPr>
      <w:r>
        <w:rPr>
          <w:rFonts w:ascii="Arial" w:cs="Arial" w:eastAsia="Arial" w:hAnsi="Arial"/>
          <w:sz w:val="32"/>
          <w:szCs w:val="32"/>
          <w:color w:val="auto"/>
        </w:rPr>
        <w:t>3)</w:t>
      </w:r>
      <w:r>
        <w:rPr>
          <w:rFonts w:ascii="宋体" w:cs="宋体" w:eastAsia="宋体" w:hAnsi="宋体"/>
          <w:sz w:val="32"/>
          <w:szCs w:val="32"/>
          <w:color w:val="auto"/>
        </w:rPr>
        <w:t>土地的一般因素、区域因素和个别因素。</w:t>
      </w:r>
    </w:p>
    <w:p>
      <w:pPr>
        <w:spacing w:after="0" w:line="237" w:lineRule="exact"/>
        <w:rPr>
          <w:sz w:val="20"/>
          <w:szCs w:val="20"/>
          <w:color w:val="auto"/>
        </w:rPr>
      </w:pPr>
    </w:p>
    <w:p>
      <w:pPr>
        <w:ind w:left="1000"/>
        <w:spacing w:after="0" w:line="388" w:lineRule="exact"/>
        <w:rPr>
          <w:sz w:val="20"/>
          <w:szCs w:val="20"/>
          <w:color w:val="auto"/>
        </w:rPr>
      </w:pPr>
      <w:r>
        <w:rPr>
          <w:rFonts w:ascii="Arial" w:cs="Arial" w:eastAsia="Arial" w:hAnsi="Arial"/>
          <w:sz w:val="32"/>
          <w:szCs w:val="32"/>
          <w:color w:val="auto"/>
        </w:rPr>
        <w:t>4)</w:t>
      </w:r>
      <w:r>
        <w:rPr>
          <w:rFonts w:ascii="宋体" w:cs="宋体" w:eastAsia="宋体" w:hAnsi="宋体"/>
          <w:sz w:val="32"/>
          <w:szCs w:val="32"/>
          <w:color w:val="auto"/>
        </w:rPr>
        <w:t>土地使用权核实的方法和结论。</w:t>
      </w:r>
    </w:p>
    <w:p>
      <w:pPr>
        <w:spacing w:after="0" w:line="236" w:lineRule="exact"/>
        <w:rPr>
          <w:sz w:val="20"/>
          <w:szCs w:val="20"/>
          <w:color w:val="auto"/>
        </w:rPr>
      </w:pPr>
    </w:p>
    <w:p>
      <w:pPr>
        <w:ind w:left="1000"/>
        <w:spacing w:after="0" w:line="388" w:lineRule="exact"/>
        <w:rPr>
          <w:sz w:val="20"/>
          <w:szCs w:val="20"/>
          <w:color w:val="auto"/>
        </w:rPr>
      </w:pPr>
      <w:r>
        <w:rPr>
          <w:rFonts w:ascii="Arial" w:cs="Arial" w:eastAsia="Arial" w:hAnsi="Arial"/>
          <w:sz w:val="32"/>
          <w:szCs w:val="32"/>
          <w:color w:val="auto"/>
        </w:rPr>
        <w:t>5)</w:t>
      </w:r>
      <w:r>
        <w:rPr>
          <w:rFonts w:ascii="宋体" w:cs="宋体" w:eastAsia="宋体" w:hAnsi="宋体"/>
          <w:sz w:val="32"/>
          <w:szCs w:val="32"/>
          <w:color w:val="auto"/>
        </w:rPr>
        <w:t>土地使用权评估价值内涵，所选取评估方法的依据或</w:t>
      </w:r>
    </w:p>
    <w:p>
      <w:pPr>
        <w:spacing w:after="0" w:line="259"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者理由。</w:t>
      </w:r>
    </w:p>
    <w:p>
      <w:pPr>
        <w:sectPr>
          <w:pgSz w:w="11900" w:h="16838" w:orient="portrait"/>
          <w:cols w:equalWidth="0" w:num="1">
            <w:col w:w="9026"/>
          </w:cols>
          <w:pgMar w:left="1440" w:top="1440" w:right="1440" w:bottom="1440" w:gutter="0" w:footer="0" w:header="0"/>
        </w:sectPr>
      </w:pPr>
    </w:p>
    <w:bookmarkStart w:id="37" w:name="page38"/>
    <w:bookmarkEnd w:id="37"/>
    <w:p>
      <w:pPr>
        <w:spacing w:after="0" w:line="81" w:lineRule="exact"/>
        <w:rPr>
          <w:sz w:val="20"/>
          <w:szCs w:val="20"/>
          <w:color w:val="auto"/>
        </w:rPr>
      </w:pPr>
    </w:p>
    <w:p>
      <w:pPr>
        <w:ind w:left="1000"/>
        <w:spacing w:after="0" w:line="388" w:lineRule="exact"/>
        <w:rPr>
          <w:sz w:val="20"/>
          <w:szCs w:val="20"/>
          <w:color w:val="auto"/>
        </w:rPr>
      </w:pPr>
      <w:r>
        <w:rPr>
          <w:rFonts w:ascii="Arial" w:cs="Arial" w:eastAsia="Arial" w:hAnsi="Arial"/>
          <w:sz w:val="32"/>
          <w:szCs w:val="32"/>
          <w:color w:val="auto"/>
        </w:rPr>
        <w:t>6)</w:t>
      </w:r>
      <w:r>
        <w:rPr>
          <w:rFonts w:ascii="宋体" w:cs="宋体" w:eastAsia="宋体" w:hAnsi="宋体"/>
          <w:sz w:val="32"/>
          <w:szCs w:val="32"/>
          <w:color w:val="auto"/>
        </w:rPr>
        <w:t>采用市场法评估，应当说明所选交易实例的基本状况、</w:t>
      </w:r>
    </w:p>
    <w:p>
      <w:pPr>
        <w:spacing w:after="0" w:line="259"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成交日期、成交价格、交易情况等内容，并说明交易情况、</w:t>
      </w:r>
    </w:p>
    <w:p>
      <w:pPr>
        <w:spacing w:after="0" w:line="259"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交易日期等修正情况。</w:t>
      </w:r>
    </w:p>
    <w:p>
      <w:pPr>
        <w:spacing w:after="0" w:line="236" w:lineRule="exact"/>
        <w:rPr>
          <w:sz w:val="20"/>
          <w:szCs w:val="20"/>
          <w:color w:val="auto"/>
        </w:rPr>
      </w:pPr>
    </w:p>
    <w:p>
      <w:pPr>
        <w:ind w:left="1000"/>
        <w:spacing w:after="0" w:line="388" w:lineRule="exact"/>
        <w:rPr>
          <w:sz w:val="20"/>
          <w:szCs w:val="20"/>
          <w:color w:val="auto"/>
        </w:rPr>
      </w:pPr>
      <w:r>
        <w:rPr>
          <w:rFonts w:ascii="Arial" w:cs="Arial" w:eastAsia="Arial" w:hAnsi="Arial"/>
          <w:sz w:val="32"/>
          <w:szCs w:val="32"/>
          <w:color w:val="auto"/>
        </w:rPr>
        <w:t>7)</w:t>
      </w:r>
      <w:r>
        <w:rPr>
          <w:rFonts w:ascii="宋体" w:cs="宋体" w:eastAsia="宋体" w:hAnsi="宋体"/>
          <w:sz w:val="32"/>
          <w:szCs w:val="32"/>
          <w:color w:val="auto"/>
        </w:rPr>
        <w:t>采用收益法评估，应当说明收益期限、净收益与折现</w:t>
      </w:r>
    </w:p>
    <w:p>
      <w:pPr>
        <w:spacing w:after="0" w:line="259"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率确定的过程和结论。</w:t>
      </w:r>
    </w:p>
    <w:p>
      <w:pPr>
        <w:spacing w:after="0" w:line="236" w:lineRule="exact"/>
        <w:rPr>
          <w:sz w:val="20"/>
          <w:szCs w:val="20"/>
          <w:color w:val="auto"/>
        </w:rPr>
      </w:pPr>
    </w:p>
    <w:p>
      <w:pPr>
        <w:ind w:left="1000"/>
        <w:spacing w:after="0" w:line="388" w:lineRule="exact"/>
        <w:rPr>
          <w:sz w:val="20"/>
          <w:szCs w:val="20"/>
          <w:color w:val="auto"/>
        </w:rPr>
      </w:pPr>
      <w:r>
        <w:rPr>
          <w:rFonts w:ascii="Arial" w:cs="Arial" w:eastAsia="Arial" w:hAnsi="Arial"/>
          <w:sz w:val="32"/>
          <w:szCs w:val="32"/>
          <w:color w:val="auto"/>
        </w:rPr>
        <w:t>8)</w:t>
      </w:r>
      <w:r>
        <w:rPr>
          <w:rFonts w:ascii="宋体" w:cs="宋体" w:eastAsia="宋体" w:hAnsi="宋体"/>
          <w:sz w:val="32"/>
          <w:szCs w:val="32"/>
          <w:color w:val="auto"/>
        </w:rPr>
        <w:t>采用成本法评估，应当说明费用项目的构成、各费用</w:t>
      </w:r>
    </w:p>
    <w:p>
      <w:pPr>
        <w:spacing w:after="0" w:line="270" w:lineRule="exact"/>
        <w:rPr>
          <w:sz w:val="20"/>
          <w:szCs w:val="20"/>
          <w:color w:val="auto"/>
        </w:rPr>
      </w:pPr>
    </w:p>
    <w:p>
      <w:pPr>
        <w:jc w:val="center"/>
        <w:ind w:right="6"/>
        <w:spacing w:after="0" w:line="354" w:lineRule="exact"/>
        <w:rPr>
          <w:sz w:val="20"/>
          <w:szCs w:val="20"/>
          <w:color w:val="auto"/>
        </w:rPr>
      </w:pPr>
      <w:r>
        <w:rPr>
          <w:rFonts w:ascii="宋体" w:cs="宋体" w:eastAsia="宋体" w:hAnsi="宋体"/>
          <w:sz w:val="31"/>
          <w:szCs w:val="31"/>
          <w:color w:val="auto"/>
        </w:rPr>
        <w:t>项目的测算过程、采用的价格和费用标准等；说明与地上建</w:t>
      </w:r>
    </w:p>
    <w:p>
      <w:pPr>
        <w:spacing w:after="0" w:line="271" w:lineRule="exact"/>
        <w:rPr>
          <w:sz w:val="20"/>
          <w:szCs w:val="20"/>
          <w:color w:val="auto"/>
        </w:rPr>
      </w:pPr>
    </w:p>
    <w:p>
      <w:pPr>
        <w:jc w:val="center"/>
        <w:ind w:right="6"/>
        <w:spacing w:after="0" w:line="354" w:lineRule="exact"/>
        <w:rPr>
          <w:sz w:val="20"/>
          <w:szCs w:val="20"/>
          <w:color w:val="auto"/>
        </w:rPr>
      </w:pPr>
      <w:r>
        <w:rPr>
          <w:rFonts w:ascii="宋体" w:cs="宋体" w:eastAsia="宋体" w:hAnsi="宋体"/>
          <w:sz w:val="31"/>
          <w:szCs w:val="31"/>
          <w:color w:val="auto"/>
        </w:rPr>
        <w:t>筑物费用项目的划分；说明评估对象的开发期限、开发状况</w:t>
      </w:r>
    </w:p>
    <w:p>
      <w:pPr>
        <w:spacing w:after="0" w:line="259"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和相应的开发费用标准及依据；说明土地增值标准的确定方</w:t>
      </w:r>
    </w:p>
    <w:p>
      <w:pPr>
        <w:spacing w:after="0" w:line="259"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法和依据；说明修正的因素及修正过程。</w:t>
      </w:r>
    </w:p>
    <w:p>
      <w:pPr>
        <w:spacing w:after="0" w:line="236" w:lineRule="exact"/>
        <w:rPr>
          <w:sz w:val="20"/>
          <w:szCs w:val="20"/>
          <w:color w:val="auto"/>
        </w:rPr>
      </w:pPr>
    </w:p>
    <w:p>
      <w:pPr>
        <w:ind w:left="1000"/>
        <w:spacing w:after="0" w:line="388" w:lineRule="exact"/>
        <w:rPr>
          <w:sz w:val="20"/>
          <w:szCs w:val="20"/>
          <w:color w:val="auto"/>
        </w:rPr>
      </w:pPr>
      <w:r>
        <w:rPr>
          <w:rFonts w:ascii="Arial" w:cs="Arial" w:eastAsia="Arial" w:hAnsi="Arial"/>
          <w:sz w:val="32"/>
          <w:szCs w:val="32"/>
          <w:color w:val="auto"/>
        </w:rPr>
        <w:t>9)</w:t>
      </w:r>
      <w:r>
        <w:rPr>
          <w:rFonts w:ascii="宋体" w:cs="宋体" w:eastAsia="宋体" w:hAnsi="宋体"/>
          <w:sz w:val="32"/>
          <w:szCs w:val="32"/>
          <w:color w:val="auto"/>
        </w:rPr>
        <w:t>采用基准地价修正法评估，应当说明基准地价的公布</w:t>
      </w:r>
    </w:p>
    <w:p>
      <w:pPr>
        <w:spacing w:after="0" w:line="270" w:lineRule="exact"/>
        <w:rPr>
          <w:sz w:val="20"/>
          <w:szCs w:val="20"/>
          <w:color w:val="auto"/>
        </w:rPr>
      </w:pPr>
    </w:p>
    <w:p>
      <w:pPr>
        <w:jc w:val="center"/>
        <w:ind w:right="6"/>
        <w:spacing w:after="0" w:line="354" w:lineRule="exact"/>
        <w:rPr>
          <w:sz w:val="20"/>
          <w:szCs w:val="20"/>
          <w:color w:val="auto"/>
        </w:rPr>
      </w:pPr>
      <w:r>
        <w:rPr>
          <w:rFonts w:ascii="宋体" w:cs="宋体" w:eastAsia="宋体" w:hAnsi="宋体"/>
          <w:sz w:val="31"/>
          <w:szCs w:val="31"/>
          <w:color w:val="auto"/>
        </w:rPr>
        <w:t>时间、批准机关和文号、基准地价的内涵、利用基准地价估</w:t>
      </w:r>
    </w:p>
    <w:p>
      <w:pPr>
        <w:spacing w:after="0" w:line="270" w:lineRule="exact"/>
        <w:rPr>
          <w:sz w:val="20"/>
          <w:szCs w:val="20"/>
          <w:color w:val="auto"/>
        </w:rPr>
      </w:pPr>
    </w:p>
    <w:p>
      <w:pPr>
        <w:jc w:val="center"/>
        <w:ind w:right="6"/>
        <w:spacing w:after="0" w:line="354" w:lineRule="exact"/>
        <w:rPr>
          <w:sz w:val="20"/>
          <w:szCs w:val="20"/>
          <w:color w:val="auto"/>
        </w:rPr>
      </w:pPr>
      <w:r>
        <w:rPr>
          <w:rFonts w:ascii="宋体" w:cs="宋体" w:eastAsia="宋体" w:hAnsi="宋体"/>
          <w:sz w:val="31"/>
          <w:szCs w:val="31"/>
          <w:color w:val="auto"/>
        </w:rPr>
        <w:t>算宗地价格的公式；说明宗地位置、用途及评估对象所在级</w:t>
      </w:r>
    </w:p>
    <w:p>
      <w:pPr>
        <w:spacing w:after="0" w:line="259"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别或者区域的基准地价和对应的因素修正系数；说明评估对</w:t>
      </w:r>
    </w:p>
    <w:p>
      <w:pPr>
        <w:spacing w:after="0" w:line="259"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象的价值内涵与基准地价内涵的差异，以及修正的内容。</w:t>
      </w:r>
    </w:p>
    <w:p>
      <w:pPr>
        <w:spacing w:after="0" w:line="236" w:lineRule="exact"/>
        <w:rPr>
          <w:sz w:val="20"/>
          <w:szCs w:val="20"/>
          <w:color w:val="auto"/>
        </w:rPr>
      </w:pPr>
    </w:p>
    <w:p>
      <w:pPr>
        <w:ind w:left="1000"/>
        <w:spacing w:after="0" w:line="388" w:lineRule="exact"/>
        <w:rPr>
          <w:sz w:val="20"/>
          <w:szCs w:val="20"/>
          <w:color w:val="auto"/>
        </w:rPr>
      </w:pPr>
      <w:r>
        <w:rPr>
          <w:rFonts w:ascii="Arial" w:cs="Arial" w:eastAsia="Arial" w:hAnsi="Arial"/>
          <w:sz w:val="32"/>
          <w:szCs w:val="32"/>
          <w:color w:val="auto"/>
        </w:rPr>
        <w:t>10)</w:t>
      </w:r>
      <w:r>
        <w:rPr>
          <w:rFonts w:ascii="宋体" w:cs="宋体" w:eastAsia="宋体" w:hAnsi="宋体"/>
          <w:sz w:val="32"/>
          <w:szCs w:val="32"/>
          <w:color w:val="auto"/>
        </w:rPr>
        <w:t>采用假设开发法评估时，应当说明开发完成后的不</w:t>
      </w:r>
    </w:p>
    <w:p>
      <w:pPr>
        <w:spacing w:after="0" w:line="259"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动产价值、后续开发建设的必要支出和应得利润等的确定方</w:t>
      </w:r>
    </w:p>
    <w:p>
      <w:pPr>
        <w:spacing w:after="0" w:line="259"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法、过程和结论。</w:t>
      </w:r>
    </w:p>
    <w:p>
      <w:pPr>
        <w:spacing w:after="0" w:line="236" w:lineRule="exact"/>
        <w:rPr>
          <w:sz w:val="20"/>
          <w:szCs w:val="20"/>
          <w:color w:val="auto"/>
        </w:rPr>
      </w:pPr>
    </w:p>
    <w:p>
      <w:pPr>
        <w:ind w:left="1000"/>
        <w:spacing w:after="0" w:line="388" w:lineRule="exact"/>
        <w:rPr>
          <w:sz w:val="20"/>
          <w:szCs w:val="20"/>
          <w:color w:val="auto"/>
        </w:rPr>
      </w:pPr>
      <w:r>
        <w:rPr>
          <w:rFonts w:ascii="Arial" w:cs="Arial" w:eastAsia="Arial" w:hAnsi="Arial"/>
          <w:sz w:val="32"/>
          <w:szCs w:val="32"/>
          <w:color w:val="auto"/>
        </w:rPr>
        <w:t>11)</w:t>
      </w:r>
      <w:r>
        <w:rPr>
          <w:rFonts w:ascii="宋体" w:cs="宋体" w:eastAsia="宋体" w:hAnsi="宋体"/>
          <w:sz w:val="32"/>
          <w:szCs w:val="32"/>
          <w:color w:val="auto"/>
        </w:rPr>
        <w:t>引用土地估价报告评估结论的，应当说明涉及的土</w:t>
      </w:r>
    </w:p>
    <w:p>
      <w:pPr>
        <w:spacing w:after="0" w:line="282" w:lineRule="exact"/>
        <w:rPr>
          <w:sz w:val="20"/>
          <w:szCs w:val="20"/>
          <w:color w:val="auto"/>
        </w:rPr>
      </w:pPr>
    </w:p>
    <w:p>
      <w:pPr>
        <w:jc w:val="center"/>
        <w:ind w:right="6"/>
        <w:spacing w:after="0" w:line="343" w:lineRule="exact"/>
        <w:rPr>
          <w:sz w:val="20"/>
          <w:szCs w:val="20"/>
          <w:color w:val="auto"/>
        </w:rPr>
      </w:pPr>
      <w:r>
        <w:rPr>
          <w:rFonts w:ascii="宋体" w:cs="宋体" w:eastAsia="宋体" w:hAnsi="宋体"/>
          <w:sz w:val="30"/>
          <w:szCs w:val="30"/>
          <w:color w:val="auto"/>
        </w:rPr>
        <w:t>地宗数、面积，土地使用权取得方式、性质、原始入账价值、</w:t>
      </w:r>
    </w:p>
    <w:p>
      <w:pPr>
        <w:spacing w:after="0" w:line="270" w:lineRule="exact"/>
        <w:rPr>
          <w:sz w:val="20"/>
          <w:szCs w:val="20"/>
          <w:color w:val="auto"/>
        </w:rPr>
      </w:pPr>
    </w:p>
    <w:p>
      <w:pPr>
        <w:jc w:val="center"/>
        <w:ind w:right="6"/>
        <w:spacing w:after="0" w:line="354" w:lineRule="exact"/>
        <w:rPr>
          <w:sz w:val="20"/>
          <w:szCs w:val="20"/>
          <w:color w:val="auto"/>
        </w:rPr>
      </w:pPr>
      <w:r>
        <w:rPr>
          <w:rFonts w:ascii="宋体" w:cs="宋体" w:eastAsia="宋体" w:hAnsi="宋体"/>
          <w:sz w:val="31"/>
          <w:szCs w:val="31"/>
          <w:color w:val="auto"/>
        </w:rPr>
        <w:t>摊销政策、摊余价值等；说明所引用土地评估结论的地价定</w:t>
      </w:r>
    </w:p>
    <w:p>
      <w:pPr>
        <w:spacing w:after="0" w:line="270" w:lineRule="exact"/>
        <w:rPr>
          <w:sz w:val="20"/>
          <w:szCs w:val="20"/>
          <w:color w:val="auto"/>
        </w:rPr>
      </w:pPr>
    </w:p>
    <w:p>
      <w:pPr>
        <w:jc w:val="center"/>
        <w:ind w:right="6"/>
        <w:spacing w:after="0" w:line="354" w:lineRule="exact"/>
        <w:rPr>
          <w:sz w:val="20"/>
          <w:szCs w:val="20"/>
          <w:color w:val="auto"/>
        </w:rPr>
      </w:pPr>
      <w:r>
        <w:rPr>
          <w:rFonts w:ascii="宋体" w:cs="宋体" w:eastAsia="宋体" w:hAnsi="宋体"/>
          <w:sz w:val="31"/>
          <w:szCs w:val="31"/>
          <w:color w:val="auto"/>
        </w:rPr>
        <w:t>义、评估假设、评估方法以及对引用其他机构出具的报告结</w:t>
      </w:r>
    </w:p>
    <w:p>
      <w:pPr>
        <w:sectPr>
          <w:pgSz w:w="11900" w:h="16838" w:orient="portrait"/>
          <w:cols w:equalWidth="0" w:num="1">
            <w:col w:w="9026"/>
          </w:cols>
          <w:pgMar w:left="1440" w:top="1440" w:right="1440" w:bottom="1440" w:gutter="0" w:footer="0" w:header="0"/>
        </w:sectPr>
      </w:pPr>
    </w:p>
    <w:bookmarkStart w:id="38" w:name="page39"/>
    <w:bookmarkEnd w:id="38"/>
    <w:p>
      <w:pPr>
        <w:spacing w:after="0" w:line="104"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论进行分析和调整的情况。</w:t>
      </w:r>
    </w:p>
    <w:p>
      <w:pPr>
        <w:spacing w:after="0" w:line="237" w:lineRule="exact"/>
        <w:rPr>
          <w:sz w:val="20"/>
          <w:szCs w:val="20"/>
          <w:color w:val="auto"/>
        </w:rPr>
      </w:pPr>
    </w:p>
    <w:p>
      <w:pPr>
        <w:ind w:left="1000"/>
        <w:spacing w:after="0" w:line="388" w:lineRule="exact"/>
        <w:rPr>
          <w:sz w:val="20"/>
          <w:szCs w:val="20"/>
          <w:color w:val="auto"/>
        </w:rPr>
      </w:pPr>
      <w:r>
        <w:rPr>
          <w:rFonts w:ascii="宋体" w:cs="宋体" w:eastAsia="宋体" w:hAnsi="宋体"/>
          <w:sz w:val="32"/>
          <w:szCs w:val="32"/>
          <w:color w:val="auto"/>
        </w:rPr>
        <w:t>（</w:t>
      </w:r>
      <w:r>
        <w:rPr>
          <w:rFonts w:ascii="Arial" w:cs="Arial" w:eastAsia="Arial" w:hAnsi="Arial"/>
          <w:sz w:val="32"/>
          <w:szCs w:val="32"/>
          <w:color w:val="auto"/>
        </w:rPr>
        <w:t>2</w:t>
      </w:r>
      <w:r>
        <w:rPr>
          <w:rFonts w:ascii="宋体" w:cs="宋体" w:eastAsia="宋体" w:hAnsi="宋体"/>
          <w:sz w:val="32"/>
          <w:szCs w:val="32"/>
          <w:color w:val="auto"/>
        </w:rPr>
        <w:t>）其他无形资产</w:t>
      </w:r>
    </w:p>
    <w:p>
      <w:pPr>
        <w:spacing w:after="0" w:line="236" w:lineRule="exact"/>
        <w:rPr>
          <w:sz w:val="20"/>
          <w:szCs w:val="20"/>
          <w:color w:val="auto"/>
        </w:rPr>
      </w:pPr>
    </w:p>
    <w:p>
      <w:pPr>
        <w:ind w:left="1000"/>
        <w:spacing w:after="0" w:line="388" w:lineRule="exact"/>
        <w:rPr>
          <w:sz w:val="20"/>
          <w:szCs w:val="20"/>
          <w:color w:val="auto"/>
        </w:rPr>
      </w:pPr>
      <w:r>
        <w:rPr>
          <w:rFonts w:ascii="Arial" w:cs="Arial" w:eastAsia="Arial" w:hAnsi="Arial"/>
          <w:sz w:val="32"/>
          <w:szCs w:val="32"/>
          <w:color w:val="auto"/>
        </w:rPr>
        <w:t>1)</w:t>
      </w:r>
      <w:r>
        <w:rPr>
          <w:rFonts w:ascii="宋体" w:cs="宋体" w:eastAsia="宋体" w:hAnsi="宋体"/>
          <w:sz w:val="32"/>
          <w:szCs w:val="32"/>
          <w:color w:val="auto"/>
        </w:rPr>
        <w:t>无形资产的名称、形成过程、存在形式、存在期限、</w:t>
      </w:r>
    </w:p>
    <w:p>
      <w:pPr>
        <w:spacing w:after="0" w:line="259"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权属、原始入账金额、摊销政策、摊余价值等。</w:t>
      </w:r>
    </w:p>
    <w:p>
      <w:pPr>
        <w:spacing w:after="0" w:line="236" w:lineRule="exact"/>
        <w:rPr>
          <w:sz w:val="20"/>
          <w:szCs w:val="20"/>
          <w:color w:val="auto"/>
        </w:rPr>
      </w:pPr>
    </w:p>
    <w:p>
      <w:pPr>
        <w:ind w:left="1000"/>
        <w:spacing w:after="0" w:line="388" w:lineRule="exact"/>
        <w:rPr>
          <w:sz w:val="20"/>
          <w:szCs w:val="20"/>
          <w:color w:val="auto"/>
        </w:rPr>
      </w:pPr>
      <w:r>
        <w:rPr>
          <w:rFonts w:ascii="Arial" w:cs="Arial" w:eastAsia="Arial" w:hAnsi="Arial"/>
          <w:sz w:val="32"/>
          <w:szCs w:val="32"/>
          <w:color w:val="auto"/>
        </w:rPr>
        <w:t>2)</w:t>
      </w:r>
      <w:r>
        <w:rPr>
          <w:rFonts w:ascii="宋体" w:cs="宋体" w:eastAsia="宋体" w:hAnsi="宋体"/>
          <w:sz w:val="32"/>
          <w:szCs w:val="32"/>
          <w:color w:val="auto"/>
        </w:rPr>
        <w:t>无形资产核实的内容、方法、过程和结论。</w:t>
      </w:r>
    </w:p>
    <w:p>
      <w:pPr>
        <w:spacing w:after="0" w:line="236" w:lineRule="exact"/>
        <w:rPr>
          <w:sz w:val="20"/>
          <w:szCs w:val="20"/>
          <w:color w:val="auto"/>
        </w:rPr>
      </w:pPr>
    </w:p>
    <w:p>
      <w:pPr>
        <w:ind w:left="1000"/>
        <w:spacing w:after="0" w:line="388" w:lineRule="exact"/>
        <w:rPr>
          <w:sz w:val="20"/>
          <w:szCs w:val="20"/>
          <w:color w:val="auto"/>
        </w:rPr>
      </w:pPr>
      <w:r>
        <w:rPr>
          <w:rFonts w:ascii="Arial" w:cs="Arial" w:eastAsia="Arial" w:hAnsi="Arial"/>
          <w:sz w:val="32"/>
          <w:szCs w:val="32"/>
          <w:color w:val="auto"/>
        </w:rPr>
        <w:t>3)</w:t>
      </w:r>
      <w:r>
        <w:rPr>
          <w:rFonts w:ascii="宋体" w:cs="宋体" w:eastAsia="宋体" w:hAnsi="宋体"/>
          <w:sz w:val="32"/>
          <w:szCs w:val="32"/>
          <w:color w:val="auto"/>
        </w:rPr>
        <w:t>选取评估方法的理由，并列示主要计算公式及参数涵</w:t>
      </w:r>
    </w:p>
    <w:p>
      <w:pPr>
        <w:spacing w:after="0" w:line="259"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义。</w:t>
      </w:r>
    </w:p>
    <w:p>
      <w:pPr>
        <w:spacing w:after="0" w:line="237" w:lineRule="exact"/>
        <w:rPr>
          <w:sz w:val="20"/>
          <w:szCs w:val="20"/>
          <w:color w:val="auto"/>
        </w:rPr>
      </w:pPr>
    </w:p>
    <w:p>
      <w:pPr>
        <w:ind w:left="1000"/>
        <w:spacing w:after="0" w:line="388" w:lineRule="exact"/>
        <w:rPr>
          <w:sz w:val="20"/>
          <w:szCs w:val="20"/>
          <w:color w:val="auto"/>
        </w:rPr>
      </w:pPr>
      <w:r>
        <w:rPr>
          <w:rFonts w:ascii="Arial" w:cs="Arial" w:eastAsia="Arial" w:hAnsi="Arial"/>
          <w:sz w:val="32"/>
          <w:szCs w:val="32"/>
          <w:color w:val="auto"/>
        </w:rPr>
        <w:t>4)</w:t>
      </w:r>
      <w:r>
        <w:rPr>
          <w:rFonts w:ascii="宋体" w:cs="宋体" w:eastAsia="宋体" w:hAnsi="宋体"/>
          <w:sz w:val="32"/>
          <w:szCs w:val="32"/>
          <w:color w:val="auto"/>
        </w:rPr>
        <w:t>采用收益法评估，应当说明收益预测的依据，如市场</w:t>
      </w:r>
    </w:p>
    <w:p>
      <w:pPr>
        <w:spacing w:after="0" w:line="259"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调查结论、订单合同、政府推广文件等。</w:t>
      </w:r>
    </w:p>
    <w:p>
      <w:pPr>
        <w:spacing w:after="0" w:line="236" w:lineRule="exact"/>
        <w:rPr>
          <w:sz w:val="20"/>
          <w:szCs w:val="20"/>
          <w:color w:val="auto"/>
        </w:rPr>
      </w:pPr>
    </w:p>
    <w:p>
      <w:pPr>
        <w:ind w:left="1000"/>
        <w:spacing w:after="0" w:line="388" w:lineRule="exact"/>
        <w:rPr>
          <w:sz w:val="20"/>
          <w:szCs w:val="20"/>
          <w:color w:val="auto"/>
        </w:rPr>
      </w:pPr>
      <w:r>
        <w:rPr>
          <w:rFonts w:ascii="Arial" w:cs="Arial" w:eastAsia="Arial" w:hAnsi="Arial"/>
          <w:sz w:val="32"/>
          <w:szCs w:val="32"/>
          <w:color w:val="auto"/>
        </w:rPr>
        <w:t>5)</w:t>
      </w:r>
      <w:r>
        <w:rPr>
          <w:rFonts w:ascii="宋体" w:cs="宋体" w:eastAsia="宋体" w:hAnsi="宋体"/>
          <w:sz w:val="32"/>
          <w:szCs w:val="32"/>
          <w:color w:val="auto"/>
        </w:rPr>
        <w:t>采用成本法评估，应当说明费用项目的构成、各费用</w:t>
      </w:r>
    </w:p>
    <w:p>
      <w:pPr>
        <w:spacing w:after="0" w:line="259"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项目的测算过程、采用的价格和费用标准等。</w:t>
      </w:r>
    </w:p>
    <w:p>
      <w:pPr>
        <w:spacing w:after="0" w:line="236" w:lineRule="exact"/>
        <w:rPr>
          <w:sz w:val="20"/>
          <w:szCs w:val="20"/>
          <w:color w:val="auto"/>
        </w:rPr>
      </w:pPr>
    </w:p>
    <w:p>
      <w:pPr>
        <w:ind w:left="1000"/>
        <w:spacing w:after="0" w:line="388" w:lineRule="exact"/>
        <w:rPr>
          <w:sz w:val="20"/>
          <w:szCs w:val="20"/>
          <w:color w:val="auto"/>
        </w:rPr>
      </w:pPr>
      <w:r>
        <w:rPr>
          <w:rFonts w:ascii="Arial" w:cs="Arial" w:eastAsia="Arial" w:hAnsi="Arial"/>
          <w:sz w:val="32"/>
          <w:szCs w:val="32"/>
          <w:color w:val="auto"/>
        </w:rPr>
        <w:t>6)</w:t>
      </w:r>
      <w:r>
        <w:rPr>
          <w:rFonts w:ascii="宋体" w:cs="宋体" w:eastAsia="宋体" w:hAnsi="宋体"/>
          <w:sz w:val="32"/>
          <w:szCs w:val="32"/>
          <w:color w:val="auto"/>
        </w:rPr>
        <w:t>采用市场法评估，应当说明所选交易实例的依据或者</w:t>
      </w:r>
    </w:p>
    <w:p>
      <w:pPr>
        <w:spacing w:after="0" w:line="259"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理由，交易实例的基本情况、成交时间、交易状况及交易价</w:t>
      </w:r>
    </w:p>
    <w:p>
      <w:pPr>
        <w:spacing w:after="0" w:line="259"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格内涵等，对所选取的交易实例，应当全面介绍比较因素、</w:t>
      </w:r>
    </w:p>
    <w:p>
      <w:pPr>
        <w:spacing w:after="0" w:line="259"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比较结果及评估值确定的方法和结论。</w:t>
      </w:r>
    </w:p>
    <w:p>
      <w:pPr>
        <w:spacing w:after="0" w:line="236" w:lineRule="exact"/>
        <w:rPr>
          <w:sz w:val="20"/>
          <w:szCs w:val="20"/>
          <w:color w:val="auto"/>
        </w:rPr>
      </w:pPr>
    </w:p>
    <w:p>
      <w:pPr>
        <w:ind w:left="1000"/>
        <w:spacing w:after="0" w:line="388" w:lineRule="exact"/>
        <w:rPr>
          <w:sz w:val="20"/>
          <w:szCs w:val="20"/>
          <w:color w:val="auto"/>
        </w:rPr>
      </w:pPr>
      <w:r>
        <w:rPr>
          <w:rFonts w:ascii="Arial" w:cs="Arial" w:eastAsia="Arial" w:hAnsi="Arial"/>
          <w:sz w:val="32"/>
          <w:szCs w:val="32"/>
          <w:color w:val="auto"/>
        </w:rPr>
        <w:t>16</w:t>
      </w:r>
      <w:r>
        <w:rPr>
          <w:rFonts w:ascii="宋体" w:cs="宋体" w:eastAsia="宋体" w:hAnsi="宋体"/>
          <w:sz w:val="32"/>
          <w:szCs w:val="32"/>
          <w:color w:val="auto"/>
        </w:rPr>
        <w:t>．递延所得税资产</w:t>
      </w:r>
    </w:p>
    <w:p>
      <w:pPr>
        <w:spacing w:after="0" w:line="236" w:lineRule="exact"/>
        <w:rPr>
          <w:sz w:val="20"/>
          <w:szCs w:val="20"/>
          <w:color w:val="auto"/>
        </w:rPr>
      </w:pPr>
    </w:p>
    <w:p>
      <w:pPr>
        <w:ind w:left="1000"/>
        <w:spacing w:after="0" w:line="388" w:lineRule="exact"/>
        <w:rPr>
          <w:sz w:val="20"/>
          <w:szCs w:val="20"/>
          <w:color w:val="auto"/>
        </w:rPr>
      </w:pPr>
      <w:r>
        <w:rPr>
          <w:rFonts w:ascii="宋体" w:cs="宋体" w:eastAsia="宋体" w:hAnsi="宋体"/>
          <w:sz w:val="32"/>
          <w:szCs w:val="32"/>
          <w:color w:val="auto"/>
        </w:rPr>
        <w:t>（</w:t>
      </w:r>
      <w:r>
        <w:rPr>
          <w:rFonts w:ascii="Arial" w:cs="Arial" w:eastAsia="Arial" w:hAnsi="Arial"/>
          <w:sz w:val="32"/>
          <w:szCs w:val="32"/>
          <w:color w:val="auto"/>
        </w:rPr>
        <w:t>1</w:t>
      </w:r>
      <w:r>
        <w:rPr>
          <w:rFonts w:ascii="宋体" w:cs="宋体" w:eastAsia="宋体" w:hAnsi="宋体"/>
          <w:sz w:val="32"/>
          <w:szCs w:val="32"/>
          <w:color w:val="auto"/>
        </w:rPr>
        <w:t>）递延所得税资产的种类和内容。</w:t>
      </w:r>
    </w:p>
    <w:p>
      <w:pPr>
        <w:spacing w:after="0" w:line="236" w:lineRule="exact"/>
        <w:rPr>
          <w:sz w:val="20"/>
          <w:szCs w:val="20"/>
          <w:color w:val="auto"/>
        </w:rPr>
      </w:pPr>
    </w:p>
    <w:p>
      <w:pPr>
        <w:ind w:left="1000"/>
        <w:spacing w:after="0" w:line="388" w:lineRule="exact"/>
        <w:rPr>
          <w:sz w:val="20"/>
          <w:szCs w:val="20"/>
          <w:color w:val="auto"/>
        </w:rPr>
      </w:pPr>
      <w:r>
        <w:rPr>
          <w:rFonts w:ascii="宋体" w:cs="宋体" w:eastAsia="宋体" w:hAnsi="宋体"/>
          <w:sz w:val="32"/>
          <w:szCs w:val="32"/>
          <w:color w:val="auto"/>
        </w:rPr>
        <w:t>（</w:t>
      </w:r>
      <w:r>
        <w:rPr>
          <w:rFonts w:ascii="Arial" w:cs="Arial" w:eastAsia="Arial" w:hAnsi="Arial"/>
          <w:sz w:val="32"/>
          <w:szCs w:val="32"/>
          <w:color w:val="auto"/>
        </w:rPr>
        <w:t>2</w:t>
      </w:r>
      <w:r>
        <w:rPr>
          <w:rFonts w:ascii="宋体" w:cs="宋体" w:eastAsia="宋体" w:hAnsi="宋体"/>
          <w:sz w:val="32"/>
          <w:szCs w:val="32"/>
          <w:color w:val="auto"/>
        </w:rPr>
        <w:t>）递延所得税资产核实的方法和结论。</w:t>
      </w:r>
    </w:p>
    <w:p>
      <w:pPr>
        <w:spacing w:after="0" w:line="236" w:lineRule="exact"/>
        <w:rPr>
          <w:sz w:val="20"/>
          <w:szCs w:val="20"/>
          <w:color w:val="auto"/>
        </w:rPr>
      </w:pPr>
    </w:p>
    <w:p>
      <w:pPr>
        <w:ind w:left="1000"/>
        <w:spacing w:after="0" w:line="388" w:lineRule="exact"/>
        <w:rPr>
          <w:sz w:val="20"/>
          <w:szCs w:val="20"/>
          <w:color w:val="auto"/>
        </w:rPr>
      </w:pPr>
      <w:r>
        <w:rPr>
          <w:rFonts w:ascii="宋体" w:cs="宋体" w:eastAsia="宋体" w:hAnsi="宋体"/>
          <w:sz w:val="32"/>
          <w:szCs w:val="32"/>
          <w:color w:val="auto"/>
        </w:rPr>
        <w:t>（</w:t>
      </w:r>
      <w:r>
        <w:rPr>
          <w:rFonts w:ascii="Arial" w:cs="Arial" w:eastAsia="Arial" w:hAnsi="Arial"/>
          <w:sz w:val="32"/>
          <w:szCs w:val="32"/>
          <w:color w:val="auto"/>
        </w:rPr>
        <w:t>3</w:t>
      </w:r>
      <w:r>
        <w:rPr>
          <w:rFonts w:ascii="宋体" w:cs="宋体" w:eastAsia="宋体" w:hAnsi="宋体"/>
          <w:sz w:val="32"/>
          <w:szCs w:val="32"/>
          <w:color w:val="auto"/>
        </w:rPr>
        <w:t>）递延所得税资产评估值确定的方法和结论。</w:t>
      </w:r>
    </w:p>
    <w:p>
      <w:pPr>
        <w:spacing w:after="0" w:line="237" w:lineRule="exact"/>
        <w:rPr>
          <w:sz w:val="20"/>
          <w:szCs w:val="20"/>
          <w:color w:val="auto"/>
        </w:rPr>
      </w:pPr>
    </w:p>
    <w:p>
      <w:pPr>
        <w:ind w:left="1000"/>
        <w:spacing w:after="0" w:line="388" w:lineRule="exact"/>
        <w:rPr>
          <w:sz w:val="20"/>
          <w:szCs w:val="20"/>
          <w:color w:val="auto"/>
        </w:rPr>
      </w:pPr>
      <w:r>
        <w:rPr>
          <w:rFonts w:ascii="Arial" w:cs="Arial" w:eastAsia="Arial" w:hAnsi="Arial"/>
          <w:sz w:val="32"/>
          <w:szCs w:val="32"/>
          <w:color w:val="auto"/>
        </w:rPr>
        <w:t>17</w:t>
      </w:r>
      <w:r>
        <w:rPr>
          <w:rFonts w:ascii="宋体" w:cs="宋体" w:eastAsia="宋体" w:hAnsi="宋体"/>
          <w:sz w:val="32"/>
          <w:szCs w:val="32"/>
          <w:color w:val="auto"/>
        </w:rPr>
        <w:t>．其他资产</w:t>
      </w:r>
    </w:p>
    <w:p>
      <w:pPr>
        <w:spacing w:after="0" w:line="236" w:lineRule="exact"/>
        <w:rPr>
          <w:sz w:val="20"/>
          <w:szCs w:val="20"/>
          <w:color w:val="auto"/>
        </w:rPr>
      </w:pPr>
    </w:p>
    <w:p>
      <w:pPr>
        <w:ind w:left="1000"/>
        <w:spacing w:after="0" w:line="388" w:lineRule="exact"/>
        <w:rPr>
          <w:sz w:val="20"/>
          <w:szCs w:val="20"/>
          <w:color w:val="auto"/>
        </w:rPr>
      </w:pPr>
      <w:r>
        <w:rPr>
          <w:rFonts w:ascii="宋体" w:cs="宋体" w:eastAsia="宋体" w:hAnsi="宋体"/>
          <w:sz w:val="32"/>
          <w:szCs w:val="32"/>
          <w:color w:val="auto"/>
        </w:rPr>
        <w:t>（</w:t>
      </w:r>
      <w:r>
        <w:rPr>
          <w:rFonts w:ascii="Arial" w:cs="Arial" w:eastAsia="Arial" w:hAnsi="Arial"/>
          <w:sz w:val="32"/>
          <w:szCs w:val="32"/>
          <w:color w:val="auto"/>
        </w:rPr>
        <w:t>1</w:t>
      </w:r>
      <w:r>
        <w:rPr>
          <w:rFonts w:ascii="宋体" w:cs="宋体" w:eastAsia="宋体" w:hAnsi="宋体"/>
          <w:sz w:val="32"/>
          <w:szCs w:val="32"/>
          <w:color w:val="auto"/>
        </w:rPr>
        <w:t>）抵债资产</w:t>
      </w:r>
    </w:p>
    <w:p>
      <w:pPr>
        <w:spacing w:after="0" w:line="236" w:lineRule="exact"/>
        <w:rPr>
          <w:sz w:val="20"/>
          <w:szCs w:val="20"/>
          <w:color w:val="auto"/>
        </w:rPr>
      </w:pPr>
    </w:p>
    <w:p>
      <w:pPr>
        <w:ind w:left="1000"/>
        <w:spacing w:after="0" w:line="388" w:lineRule="exact"/>
        <w:rPr>
          <w:sz w:val="20"/>
          <w:szCs w:val="20"/>
          <w:color w:val="auto"/>
        </w:rPr>
      </w:pPr>
      <w:r>
        <w:rPr>
          <w:rFonts w:ascii="Arial" w:cs="Arial" w:eastAsia="Arial" w:hAnsi="Arial"/>
          <w:sz w:val="32"/>
          <w:szCs w:val="32"/>
          <w:color w:val="auto"/>
        </w:rPr>
        <w:t>1)</w:t>
      </w:r>
      <w:r>
        <w:rPr>
          <w:rFonts w:ascii="宋体" w:cs="宋体" w:eastAsia="宋体" w:hAnsi="宋体"/>
          <w:sz w:val="32"/>
          <w:szCs w:val="32"/>
          <w:color w:val="auto"/>
        </w:rPr>
        <w:t>抵债资产的种类、取得时间、对应的债权金额情况。</w:t>
      </w:r>
    </w:p>
    <w:p>
      <w:pPr>
        <w:sectPr>
          <w:pgSz w:w="11900" w:h="16838" w:orient="portrait"/>
          <w:cols w:equalWidth="0" w:num="1">
            <w:col w:w="9026"/>
          </w:cols>
          <w:pgMar w:left="1440" w:top="1440" w:right="1440" w:bottom="1440" w:gutter="0" w:footer="0" w:header="0"/>
        </w:sectPr>
      </w:pPr>
    </w:p>
    <w:bookmarkStart w:id="39" w:name="page40"/>
    <w:bookmarkEnd w:id="39"/>
    <w:p>
      <w:pPr>
        <w:spacing w:after="0" w:line="81" w:lineRule="exact"/>
        <w:rPr>
          <w:sz w:val="20"/>
          <w:szCs w:val="20"/>
          <w:color w:val="auto"/>
        </w:rPr>
      </w:pPr>
    </w:p>
    <w:p>
      <w:pPr>
        <w:ind w:left="1000"/>
        <w:spacing w:after="0" w:line="388" w:lineRule="exact"/>
        <w:rPr>
          <w:sz w:val="20"/>
          <w:szCs w:val="20"/>
          <w:color w:val="auto"/>
        </w:rPr>
      </w:pPr>
      <w:r>
        <w:rPr>
          <w:rFonts w:ascii="Arial" w:cs="Arial" w:eastAsia="Arial" w:hAnsi="Arial"/>
          <w:sz w:val="32"/>
          <w:szCs w:val="32"/>
          <w:color w:val="auto"/>
        </w:rPr>
        <w:t>2)</w:t>
      </w:r>
      <w:r>
        <w:rPr>
          <w:rFonts w:ascii="宋体" w:cs="宋体" w:eastAsia="宋体" w:hAnsi="宋体"/>
          <w:sz w:val="32"/>
          <w:szCs w:val="32"/>
          <w:color w:val="auto"/>
        </w:rPr>
        <w:t>抵债资产的产权情况，抵债资产产权瑕疵、使用受限</w:t>
      </w:r>
    </w:p>
    <w:p>
      <w:pPr>
        <w:spacing w:after="0" w:line="259"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等情况对价值的影响分析。</w:t>
      </w:r>
    </w:p>
    <w:p>
      <w:pPr>
        <w:spacing w:after="0" w:line="236" w:lineRule="exact"/>
        <w:rPr>
          <w:sz w:val="20"/>
          <w:szCs w:val="20"/>
          <w:color w:val="auto"/>
        </w:rPr>
      </w:pPr>
    </w:p>
    <w:p>
      <w:pPr>
        <w:ind w:left="1000"/>
        <w:spacing w:after="0" w:line="388" w:lineRule="exact"/>
        <w:rPr>
          <w:sz w:val="20"/>
          <w:szCs w:val="20"/>
          <w:color w:val="auto"/>
        </w:rPr>
      </w:pPr>
      <w:r>
        <w:rPr>
          <w:rFonts w:ascii="Arial" w:cs="Arial" w:eastAsia="Arial" w:hAnsi="Arial"/>
          <w:sz w:val="32"/>
          <w:szCs w:val="32"/>
          <w:color w:val="auto"/>
        </w:rPr>
        <w:t>3)</w:t>
      </w:r>
      <w:r>
        <w:rPr>
          <w:rFonts w:ascii="宋体" w:cs="宋体" w:eastAsia="宋体" w:hAnsi="宋体"/>
          <w:sz w:val="32"/>
          <w:szCs w:val="32"/>
          <w:color w:val="auto"/>
        </w:rPr>
        <w:t>抵债资产评估值的确定方法和结论。</w:t>
      </w:r>
    </w:p>
    <w:p>
      <w:pPr>
        <w:spacing w:after="0" w:line="236" w:lineRule="exact"/>
        <w:rPr>
          <w:sz w:val="20"/>
          <w:szCs w:val="20"/>
          <w:color w:val="auto"/>
        </w:rPr>
      </w:pPr>
    </w:p>
    <w:p>
      <w:pPr>
        <w:ind w:left="1000"/>
        <w:spacing w:after="0" w:line="388" w:lineRule="exact"/>
        <w:rPr>
          <w:sz w:val="20"/>
          <w:szCs w:val="20"/>
          <w:color w:val="auto"/>
        </w:rPr>
      </w:pPr>
      <w:r>
        <w:rPr>
          <w:rFonts w:ascii="宋体" w:cs="宋体" w:eastAsia="宋体" w:hAnsi="宋体"/>
          <w:sz w:val="32"/>
          <w:szCs w:val="32"/>
          <w:color w:val="auto"/>
        </w:rPr>
        <w:t>（</w:t>
      </w:r>
      <w:r>
        <w:rPr>
          <w:rFonts w:ascii="Arial" w:cs="Arial" w:eastAsia="Arial" w:hAnsi="Arial"/>
          <w:sz w:val="32"/>
          <w:szCs w:val="32"/>
          <w:color w:val="auto"/>
        </w:rPr>
        <w:t>2</w:t>
      </w:r>
      <w:r>
        <w:rPr>
          <w:rFonts w:ascii="宋体" w:cs="宋体" w:eastAsia="宋体" w:hAnsi="宋体"/>
          <w:sz w:val="32"/>
          <w:szCs w:val="32"/>
          <w:color w:val="auto"/>
        </w:rPr>
        <w:t>）上述资产以外的其他资产</w:t>
      </w:r>
    </w:p>
    <w:p>
      <w:pPr>
        <w:spacing w:after="0" w:line="236" w:lineRule="exact"/>
        <w:rPr>
          <w:sz w:val="20"/>
          <w:szCs w:val="20"/>
          <w:color w:val="auto"/>
        </w:rPr>
      </w:pPr>
    </w:p>
    <w:p>
      <w:pPr>
        <w:ind w:left="1000"/>
        <w:spacing w:after="0" w:line="388" w:lineRule="exact"/>
        <w:rPr>
          <w:sz w:val="20"/>
          <w:szCs w:val="20"/>
          <w:color w:val="auto"/>
        </w:rPr>
      </w:pPr>
      <w:r>
        <w:rPr>
          <w:rFonts w:ascii="Arial" w:cs="Arial" w:eastAsia="Arial" w:hAnsi="Arial"/>
          <w:sz w:val="32"/>
          <w:szCs w:val="32"/>
          <w:color w:val="auto"/>
        </w:rPr>
        <w:t>1)</w:t>
      </w:r>
      <w:r>
        <w:rPr>
          <w:rFonts w:ascii="宋体" w:cs="宋体" w:eastAsia="宋体" w:hAnsi="宋体"/>
          <w:sz w:val="32"/>
          <w:szCs w:val="32"/>
          <w:color w:val="auto"/>
        </w:rPr>
        <w:t>其他资产的内容、种类及形成原因等。</w:t>
      </w:r>
    </w:p>
    <w:p>
      <w:pPr>
        <w:spacing w:after="0" w:line="236" w:lineRule="exact"/>
        <w:rPr>
          <w:sz w:val="20"/>
          <w:szCs w:val="20"/>
          <w:color w:val="auto"/>
        </w:rPr>
      </w:pPr>
    </w:p>
    <w:p>
      <w:pPr>
        <w:ind w:left="1000"/>
        <w:spacing w:after="0" w:line="388" w:lineRule="exact"/>
        <w:rPr>
          <w:sz w:val="20"/>
          <w:szCs w:val="20"/>
          <w:color w:val="auto"/>
        </w:rPr>
      </w:pPr>
      <w:r>
        <w:rPr>
          <w:rFonts w:ascii="Arial" w:cs="Arial" w:eastAsia="Arial" w:hAnsi="Arial"/>
          <w:sz w:val="32"/>
          <w:szCs w:val="32"/>
          <w:color w:val="auto"/>
        </w:rPr>
        <w:t>2)</w:t>
      </w:r>
      <w:r>
        <w:rPr>
          <w:rFonts w:ascii="宋体" w:cs="宋体" w:eastAsia="宋体" w:hAnsi="宋体"/>
          <w:sz w:val="32"/>
          <w:szCs w:val="32"/>
          <w:color w:val="auto"/>
        </w:rPr>
        <w:t>其他资产核实的方法和结论。</w:t>
      </w:r>
    </w:p>
    <w:p>
      <w:pPr>
        <w:spacing w:after="0" w:line="236" w:lineRule="exact"/>
        <w:rPr>
          <w:sz w:val="20"/>
          <w:szCs w:val="20"/>
          <w:color w:val="auto"/>
        </w:rPr>
      </w:pPr>
    </w:p>
    <w:p>
      <w:pPr>
        <w:ind w:left="1000"/>
        <w:spacing w:after="0" w:line="388" w:lineRule="exact"/>
        <w:rPr>
          <w:sz w:val="20"/>
          <w:szCs w:val="20"/>
          <w:color w:val="auto"/>
        </w:rPr>
      </w:pPr>
      <w:r>
        <w:rPr>
          <w:rFonts w:ascii="Arial" w:cs="Arial" w:eastAsia="Arial" w:hAnsi="Arial"/>
          <w:sz w:val="32"/>
          <w:szCs w:val="32"/>
          <w:color w:val="auto"/>
        </w:rPr>
        <w:t>3)</w:t>
      </w:r>
      <w:r>
        <w:rPr>
          <w:rFonts w:ascii="宋体" w:cs="宋体" w:eastAsia="宋体" w:hAnsi="宋体"/>
          <w:sz w:val="32"/>
          <w:szCs w:val="32"/>
          <w:color w:val="auto"/>
        </w:rPr>
        <w:t>其他资产评估值确定的方法和结论。</w:t>
      </w:r>
    </w:p>
    <w:p>
      <w:pPr>
        <w:spacing w:after="0" w:line="237" w:lineRule="exact"/>
        <w:rPr>
          <w:sz w:val="20"/>
          <w:szCs w:val="20"/>
          <w:color w:val="auto"/>
        </w:rPr>
      </w:pPr>
    </w:p>
    <w:p>
      <w:pPr>
        <w:ind w:left="1000"/>
        <w:spacing w:after="0" w:line="388" w:lineRule="exact"/>
        <w:rPr>
          <w:sz w:val="20"/>
          <w:szCs w:val="20"/>
          <w:color w:val="auto"/>
        </w:rPr>
      </w:pPr>
      <w:r>
        <w:rPr>
          <w:rFonts w:ascii="Arial" w:cs="Arial" w:eastAsia="Arial" w:hAnsi="Arial"/>
          <w:sz w:val="32"/>
          <w:szCs w:val="32"/>
          <w:color w:val="auto"/>
        </w:rPr>
        <w:t>18.</w:t>
      </w:r>
      <w:r>
        <w:rPr>
          <w:rFonts w:ascii="宋体" w:cs="宋体" w:eastAsia="宋体" w:hAnsi="宋体"/>
          <w:sz w:val="32"/>
          <w:szCs w:val="32"/>
          <w:color w:val="auto"/>
        </w:rPr>
        <w:t>向中央银行借款</w:t>
      </w:r>
    </w:p>
    <w:p>
      <w:pPr>
        <w:spacing w:after="0" w:line="236" w:lineRule="exact"/>
        <w:rPr>
          <w:sz w:val="20"/>
          <w:szCs w:val="20"/>
          <w:color w:val="auto"/>
        </w:rPr>
      </w:pPr>
    </w:p>
    <w:p>
      <w:pPr>
        <w:ind w:left="1000"/>
        <w:spacing w:after="0" w:line="388" w:lineRule="exact"/>
        <w:rPr>
          <w:sz w:val="20"/>
          <w:szCs w:val="20"/>
          <w:color w:val="auto"/>
        </w:rPr>
      </w:pPr>
      <w:r>
        <w:rPr>
          <w:rFonts w:ascii="宋体" w:cs="宋体" w:eastAsia="宋体" w:hAnsi="宋体"/>
          <w:sz w:val="32"/>
          <w:szCs w:val="32"/>
          <w:color w:val="auto"/>
        </w:rPr>
        <w:t>（</w:t>
      </w:r>
      <w:r>
        <w:rPr>
          <w:rFonts w:ascii="Arial" w:cs="Arial" w:eastAsia="Arial" w:hAnsi="Arial"/>
          <w:sz w:val="32"/>
          <w:szCs w:val="32"/>
          <w:color w:val="auto"/>
        </w:rPr>
        <w:t>1</w:t>
      </w:r>
      <w:r>
        <w:rPr>
          <w:rFonts w:ascii="宋体" w:cs="宋体" w:eastAsia="宋体" w:hAnsi="宋体"/>
          <w:sz w:val="32"/>
          <w:szCs w:val="32"/>
          <w:color w:val="auto"/>
        </w:rPr>
        <w:t>）向中央银行借款的账面金额、笔数、借款利率、</w:t>
      </w:r>
    </w:p>
    <w:p>
      <w:pPr>
        <w:spacing w:after="0" w:line="259"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期限。</w:t>
      </w:r>
    </w:p>
    <w:p>
      <w:pPr>
        <w:spacing w:after="0" w:line="236" w:lineRule="exact"/>
        <w:rPr>
          <w:sz w:val="20"/>
          <w:szCs w:val="20"/>
          <w:color w:val="auto"/>
        </w:rPr>
      </w:pPr>
    </w:p>
    <w:p>
      <w:pPr>
        <w:ind w:left="1000"/>
        <w:spacing w:after="0" w:line="388" w:lineRule="exact"/>
        <w:rPr>
          <w:sz w:val="20"/>
          <w:szCs w:val="20"/>
          <w:color w:val="auto"/>
        </w:rPr>
      </w:pPr>
      <w:r>
        <w:rPr>
          <w:rFonts w:ascii="宋体" w:cs="宋体" w:eastAsia="宋体" w:hAnsi="宋体"/>
          <w:sz w:val="32"/>
          <w:szCs w:val="32"/>
          <w:color w:val="auto"/>
        </w:rPr>
        <w:t>（</w:t>
      </w:r>
      <w:r>
        <w:rPr>
          <w:rFonts w:ascii="Arial" w:cs="Arial" w:eastAsia="Arial" w:hAnsi="Arial"/>
          <w:sz w:val="32"/>
          <w:szCs w:val="32"/>
          <w:color w:val="auto"/>
        </w:rPr>
        <w:t>2</w:t>
      </w:r>
      <w:r>
        <w:rPr>
          <w:rFonts w:ascii="宋体" w:cs="宋体" w:eastAsia="宋体" w:hAnsi="宋体"/>
          <w:sz w:val="32"/>
          <w:szCs w:val="32"/>
          <w:color w:val="auto"/>
        </w:rPr>
        <w:t>）向中央银行借款核实的方法和结论。</w:t>
      </w:r>
    </w:p>
    <w:p>
      <w:pPr>
        <w:spacing w:after="0" w:line="236" w:lineRule="exact"/>
        <w:rPr>
          <w:sz w:val="20"/>
          <w:szCs w:val="20"/>
          <w:color w:val="auto"/>
        </w:rPr>
      </w:pPr>
    </w:p>
    <w:p>
      <w:pPr>
        <w:ind w:left="1000"/>
        <w:spacing w:after="0" w:line="388" w:lineRule="exact"/>
        <w:rPr>
          <w:sz w:val="20"/>
          <w:szCs w:val="20"/>
          <w:color w:val="auto"/>
        </w:rPr>
      </w:pPr>
      <w:r>
        <w:rPr>
          <w:rFonts w:ascii="宋体" w:cs="宋体" w:eastAsia="宋体" w:hAnsi="宋体"/>
          <w:sz w:val="32"/>
          <w:szCs w:val="32"/>
          <w:color w:val="auto"/>
        </w:rPr>
        <w:t>（</w:t>
      </w:r>
      <w:r>
        <w:rPr>
          <w:rFonts w:ascii="Arial" w:cs="Arial" w:eastAsia="Arial" w:hAnsi="Arial"/>
          <w:sz w:val="32"/>
          <w:szCs w:val="32"/>
          <w:color w:val="auto"/>
        </w:rPr>
        <w:t>3</w:t>
      </w:r>
      <w:r>
        <w:rPr>
          <w:rFonts w:ascii="宋体" w:cs="宋体" w:eastAsia="宋体" w:hAnsi="宋体"/>
          <w:sz w:val="32"/>
          <w:szCs w:val="32"/>
          <w:color w:val="auto"/>
        </w:rPr>
        <w:t>）向中央银行借款评估值的确定方法和结论。</w:t>
      </w:r>
    </w:p>
    <w:p>
      <w:pPr>
        <w:spacing w:after="0" w:line="236" w:lineRule="exact"/>
        <w:rPr>
          <w:sz w:val="20"/>
          <w:szCs w:val="20"/>
          <w:color w:val="auto"/>
        </w:rPr>
      </w:pPr>
    </w:p>
    <w:p>
      <w:pPr>
        <w:ind w:left="1000"/>
        <w:spacing w:after="0" w:line="388" w:lineRule="exact"/>
        <w:rPr>
          <w:sz w:val="20"/>
          <w:szCs w:val="20"/>
          <w:color w:val="auto"/>
        </w:rPr>
      </w:pPr>
      <w:r>
        <w:rPr>
          <w:rFonts w:ascii="Arial" w:cs="Arial" w:eastAsia="Arial" w:hAnsi="Arial"/>
          <w:sz w:val="32"/>
          <w:szCs w:val="32"/>
          <w:color w:val="auto"/>
        </w:rPr>
        <w:t>19.</w:t>
      </w:r>
      <w:r>
        <w:rPr>
          <w:rFonts w:ascii="宋体" w:cs="宋体" w:eastAsia="宋体" w:hAnsi="宋体"/>
          <w:sz w:val="32"/>
          <w:szCs w:val="32"/>
          <w:color w:val="auto"/>
        </w:rPr>
        <w:t>同业及其他金融机构存放款项</w:t>
      </w:r>
    </w:p>
    <w:p>
      <w:pPr>
        <w:spacing w:after="0" w:line="237" w:lineRule="exact"/>
        <w:rPr>
          <w:sz w:val="20"/>
          <w:szCs w:val="20"/>
          <w:color w:val="auto"/>
        </w:rPr>
      </w:pPr>
    </w:p>
    <w:p>
      <w:pPr>
        <w:ind w:left="1000"/>
        <w:spacing w:after="0" w:line="388" w:lineRule="exact"/>
        <w:rPr>
          <w:sz w:val="20"/>
          <w:szCs w:val="20"/>
          <w:color w:val="auto"/>
        </w:rPr>
      </w:pPr>
      <w:r>
        <w:rPr>
          <w:rFonts w:ascii="宋体" w:cs="宋体" w:eastAsia="宋体" w:hAnsi="宋体"/>
          <w:sz w:val="32"/>
          <w:szCs w:val="32"/>
          <w:color w:val="auto"/>
        </w:rPr>
        <w:t>（</w:t>
      </w:r>
      <w:r>
        <w:rPr>
          <w:rFonts w:ascii="Arial" w:cs="Arial" w:eastAsia="Arial" w:hAnsi="Arial"/>
          <w:sz w:val="32"/>
          <w:szCs w:val="32"/>
          <w:color w:val="auto"/>
        </w:rPr>
        <w:t>1</w:t>
      </w:r>
      <w:r>
        <w:rPr>
          <w:rFonts w:ascii="宋体" w:cs="宋体" w:eastAsia="宋体" w:hAnsi="宋体"/>
          <w:sz w:val="32"/>
          <w:szCs w:val="32"/>
          <w:color w:val="auto"/>
        </w:rPr>
        <w:t>）同业存放的金额，存款的同业银行的名称，存款</w:t>
      </w:r>
    </w:p>
    <w:p>
      <w:pPr>
        <w:spacing w:after="0" w:line="259"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的种类。</w:t>
      </w:r>
    </w:p>
    <w:p>
      <w:pPr>
        <w:spacing w:after="0" w:line="248" w:lineRule="exact"/>
        <w:rPr>
          <w:sz w:val="20"/>
          <w:szCs w:val="20"/>
          <w:color w:val="auto"/>
        </w:rPr>
      </w:pPr>
    </w:p>
    <w:p>
      <w:pPr>
        <w:ind w:left="1000"/>
        <w:spacing w:after="0" w:line="376" w:lineRule="exact"/>
        <w:rPr>
          <w:sz w:val="20"/>
          <w:szCs w:val="20"/>
          <w:color w:val="auto"/>
        </w:rPr>
      </w:pPr>
      <w:r>
        <w:rPr>
          <w:rFonts w:ascii="宋体" w:cs="宋体" w:eastAsia="宋体" w:hAnsi="宋体"/>
          <w:sz w:val="31"/>
          <w:szCs w:val="31"/>
          <w:color w:val="auto"/>
        </w:rPr>
        <w:t>（</w:t>
      </w:r>
      <w:r>
        <w:rPr>
          <w:rFonts w:ascii="Arial" w:cs="Arial" w:eastAsia="Arial" w:hAnsi="Arial"/>
          <w:sz w:val="31"/>
          <w:szCs w:val="31"/>
          <w:color w:val="auto"/>
        </w:rPr>
        <w:t>2</w:t>
      </w:r>
      <w:r>
        <w:rPr>
          <w:rFonts w:ascii="宋体" w:cs="宋体" w:eastAsia="宋体" w:hAnsi="宋体"/>
          <w:sz w:val="31"/>
          <w:szCs w:val="31"/>
          <w:color w:val="auto"/>
        </w:rPr>
        <w:t>）同业及其他金融机构存放款项核实的方法和结论。</w:t>
      </w:r>
    </w:p>
    <w:p>
      <w:pPr>
        <w:spacing w:after="0" w:line="236" w:lineRule="exact"/>
        <w:rPr>
          <w:sz w:val="20"/>
          <w:szCs w:val="20"/>
          <w:color w:val="auto"/>
        </w:rPr>
      </w:pPr>
    </w:p>
    <w:p>
      <w:pPr>
        <w:ind w:left="1000"/>
        <w:spacing w:after="0" w:line="388" w:lineRule="exact"/>
        <w:rPr>
          <w:sz w:val="20"/>
          <w:szCs w:val="20"/>
          <w:color w:val="auto"/>
        </w:rPr>
      </w:pPr>
      <w:r>
        <w:rPr>
          <w:rFonts w:ascii="宋体" w:cs="宋体" w:eastAsia="宋体" w:hAnsi="宋体"/>
          <w:sz w:val="32"/>
          <w:szCs w:val="32"/>
          <w:color w:val="auto"/>
        </w:rPr>
        <w:t>（</w:t>
      </w:r>
      <w:r>
        <w:rPr>
          <w:rFonts w:ascii="Arial" w:cs="Arial" w:eastAsia="Arial" w:hAnsi="Arial"/>
          <w:sz w:val="32"/>
          <w:szCs w:val="32"/>
          <w:color w:val="auto"/>
        </w:rPr>
        <w:t>3</w:t>
      </w:r>
      <w:r>
        <w:rPr>
          <w:rFonts w:ascii="宋体" w:cs="宋体" w:eastAsia="宋体" w:hAnsi="宋体"/>
          <w:sz w:val="32"/>
          <w:szCs w:val="32"/>
          <w:color w:val="auto"/>
        </w:rPr>
        <w:t>）同业及其他金融机构存放款项评估值的确定方法</w:t>
      </w:r>
    </w:p>
    <w:p>
      <w:pPr>
        <w:spacing w:after="0" w:line="259"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和结论。</w:t>
      </w:r>
    </w:p>
    <w:p>
      <w:pPr>
        <w:spacing w:after="0" w:line="236" w:lineRule="exact"/>
        <w:rPr>
          <w:sz w:val="20"/>
          <w:szCs w:val="20"/>
          <w:color w:val="auto"/>
        </w:rPr>
      </w:pPr>
    </w:p>
    <w:p>
      <w:pPr>
        <w:ind w:left="1000"/>
        <w:spacing w:after="0" w:line="388" w:lineRule="exact"/>
        <w:rPr>
          <w:sz w:val="20"/>
          <w:szCs w:val="20"/>
          <w:color w:val="auto"/>
        </w:rPr>
      </w:pPr>
      <w:r>
        <w:rPr>
          <w:rFonts w:ascii="Arial" w:cs="Arial" w:eastAsia="Arial" w:hAnsi="Arial"/>
          <w:sz w:val="32"/>
          <w:szCs w:val="32"/>
          <w:color w:val="auto"/>
        </w:rPr>
        <w:t>20</w:t>
      </w:r>
      <w:r>
        <w:rPr>
          <w:rFonts w:ascii="宋体" w:cs="宋体" w:eastAsia="宋体" w:hAnsi="宋体"/>
          <w:sz w:val="32"/>
          <w:szCs w:val="32"/>
          <w:color w:val="auto"/>
        </w:rPr>
        <w:t>．拆入资金</w:t>
      </w:r>
    </w:p>
    <w:p>
      <w:pPr>
        <w:spacing w:after="0" w:line="237" w:lineRule="exact"/>
        <w:rPr>
          <w:sz w:val="20"/>
          <w:szCs w:val="20"/>
          <w:color w:val="auto"/>
        </w:rPr>
      </w:pPr>
    </w:p>
    <w:p>
      <w:pPr>
        <w:ind w:left="1000"/>
        <w:spacing w:after="0" w:line="388" w:lineRule="exact"/>
        <w:rPr>
          <w:sz w:val="20"/>
          <w:szCs w:val="20"/>
          <w:color w:val="auto"/>
        </w:rPr>
      </w:pPr>
      <w:r>
        <w:rPr>
          <w:rFonts w:ascii="宋体" w:cs="宋体" w:eastAsia="宋体" w:hAnsi="宋体"/>
          <w:sz w:val="32"/>
          <w:szCs w:val="32"/>
          <w:color w:val="auto"/>
        </w:rPr>
        <w:t>（</w:t>
      </w:r>
      <w:r>
        <w:rPr>
          <w:rFonts w:ascii="Arial" w:cs="Arial" w:eastAsia="Arial" w:hAnsi="Arial"/>
          <w:sz w:val="32"/>
          <w:szCs w:val="32"/>
          <w:color w:val="auto"/>
        </w:rPr>
        <w:t>1</w:t>
      </w:r>
      <w:r>
        <w:rPr>
          <w:rFonts w:ascii="宋体" w:cs="宋体" w:eastAsia="宋体" w:hAnsi="宋体"/>
          <w:sz w:val="32"/>
          <w:szCs w:val="32"/>
          <w:color w:val="auto"/>
        </w:rPr>
        <w:t>）拆借机构的名称、拆入资金的期限、拆入利率、</w:t>
      </w:r>
    </w:p>
    <w:p>
      <w:pPr>
        <w:spacing w:after="0" w:line="259"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账面金额。</w:t>
      </w:r>
    </w:p>
    <w:p>
      <w:pPr>
        <w:spacing w:after="0" w:line="236" w:lineRule="exact"/>
        <w:rPr>
          <w:sz w:val="20"/>
          <w:szCs w:val="20"/>
          <w:color w:val="auto"/>
        </w:rPr>
      </w:pPr>
    </w:p>
    <w:p>
      <w:pPr>
        <w:ind w:left="1000"/>
        <w:spacing w:after="0" w:line="388" w:lineRule="exact"/>
        <w:rPr>
          <w:sz w:val="20"/>
          <w:szCs w:val="20"/>
          <w:color w:val="auto"/>
        </w:rPr>
      </w:pPr>
      <w:r>
        <w:rPr>
          <w:rFonts w:ascii="宋体" w:cs="宋体" w:eastAsia="宋体" w:hAnsi="宋体"/>
          <w:sz w:val="32"/>
          <w:szCs w:val="32"/>
          <w:color w:val="auto"/>
        </w:rPr>
        <w:t>（</w:t>
      </w:r>
      <w:r>
        <w:rPr>
          <w:rFonts w:ascii="Arial" w:cs="Arial" w:eastAsia="Arial" w:hAnsi="Arial"/>
          <w:sz w:val="32"/>
          <w:szCs w:val="32"/>
          <w:color w:val="auto"/>
        </w:rPr>
        <w:t>2</w:t>
      </w:r>
      <w:r>
        <w:rPr>
          <w:rFonts w:ascii="宋体" w:cs="宋体" w:eastAsia="宋体" w:hAnsi="宋体"/>
          <w:sz w:val="32"/>
          <w:szCs w:val="32"/>
          <w:color w:val="auto"/>
        </w:rPr>
        <w:t>）拆入资金核实的方法和结论。</w:t>
      </w:r>
    </w:p>
    <w:p>
      <w:pPr>
        <w:sectPr>
          <w:pgSz w:w="11900" w:h="16838" w:orient="portrait"/>
          <w:cols w:equalWidth="0" w:num="1">
            <w:col w:w="9026"/>
          </w:cols>
          <w:pgMar w:left="1440" w:top="1440" w:right="1440" w:bottom="1440" w:gutter="0" w:footer="0" w:header="0"/>
        </w:sectPr>
      </w:pPr>
    </w:p>
    <w:bookmarkStart w:id="40" w:name="page41"/>
    <w:bookmarkEnd w:id="40"/>
    <w:p>
      <w:pPr>
        <w:spacing w:after="0" w:line="81" w:lineRule="exact"/>
        <w:rPr>
          <w:sz w:val="20"/>
          <w:szCs w:val="20"/>
          <w:color w:val="auto"/>
        </w:rPr>
      </w:pPr>
    </w:p>
    <w:p>
      <w:pPr>
        <w:ind w:left="1000"/>
        <w:spacing w:after="0" w:line="388" w:lineRule="exact"/>
        <w:rPr>
          <w:sz w:val="20"/>
          <w:szCs w:val="20"/>
          <w:color w:val="auto"/>
        </w:rPr>
      </w:pPr>
      <w:r>
        <w:rPr>
          <w:rFonts w:ascii="宋体" w:cs="宋体" w:eastAsia="宋体" w:hAnsi="宋体"/>
          <w:sz w:val="32"/>
          <w:szCs w:val="32"/>
          <w:color w:val="auto"/>
        </w:rPr>
        <w:t>（</w:t>
      </w:r>
      <w:r>
        <w:rPr>
          <w:rFonts w:ascii="Arial" w:cs="Arial" w:eastAsia="Arial" w:hAnsi="Arial"/>
          <w:sz w:val="32"/>
          <w:szCs w:val="32"/>
          <w:color w:val="auto"/>
        </w:rPr>
        <w:t>3</w:t>
      </w:r>
      <w:r>
        <w:rPr>
          <w:rFonts w:ascii="宋体" w:cs="宋体" w:eastAsia="宋体" w:hAnsi="宋体"/>
          <w:sz w:val="32"/>
          <w:szCs w:val="32"/>
          <w:color w:val="auto"/>
        </w:rPr>
        <w:t>）函证情况介绍。</w:t>
      </w:r>
    </w:p>
    <w:p>
      <w:pPr>
        <w:spacing w:after="0" w:line="237" w:lineRule="exact"/>
        <w:rPr>
          <w:sz w:val="20"/>
          <w:szCs w:val="20"/>
          <w:color w:val="auto"/>
        </w:rPr>
      </w:pPr>
    </w:p>
    <w:p>
      <w:pPr>
        <w:ind w:left="1000"/>
        <w:spacing w:after="0" w:line="388" w:lineRule="exact"/>
        <w:rPr>
          <w:sz w:val="20"/>
          <w:szCs w:val="20"/>
          <w:color w:val="auto"/>
        </w:rPr>
      </w:pPr>
      <w:r>
        <w:rPr>
          <w:rFonts w:ascii="宋体" w:cs="宋体" w:eastAsia="宋体" w:hAnsi="宋体"/>
          <w:sz w:val="32"/>
          <w:szCs w:val="32"/>
          <w:color w:val="auto"/>
        </w:rPr>
        <w:t>（</w:t>
      </w:r>
      <w:r>
        <w:rPr>
          <w:rFonts w:ascii="Arial" w:cs="Arial" w:eastAsia="Arial" w:hAnsi="Arial"/>
          <w:sz w:val="32"/>
          <w:szCs w:val="32"/>
          <w:color w:val="auto"/>
        </w:rPr>
        <w:t>4</w:t>
      </w:r>
      <w:r>
        <w:rPr>
          <w:rFonts w:ascii="宋体" w:cs="宋体" w:eastAsia="宋体" w:hAnsi="宋体"/>
          <w:sz w:val="32"/>
          <w:szCs w:val="32"/>
          <w:color w:val="auto"/>
        </w:rPr>
        <w:t>）拆入资金评估值的确定方法和结论。</w:t>
      </w:r>
    </w:p>
    <w:p>
      <w:pPr>
        <w:spacing w:after="0" w:line="236" w:lineRule="exact"/>
        <w:rPr>
          <w:sz w:val="20"/>
          <w:szCs w:val="20"/>
          <w:color w:val="auto"/>
        </w:rPr>
      </w:pPr>
    </w:p>
    <w:p>
      <w:pPr>
        <w:ind w:left="1000"/>
        <w:spacing w:after="0" w:line="388" w:lineRule="exact"/>
        <w:rPr>
          <w:sz w:val="20"/>
          <w:szCs w:val="20"/>
          <w:color w:val="auto"/>
        </w:rPr>
      </w:pPr>
      <w:r>
        <w:rPr>
          <w:rFonts w:ascii="Arial" w:cs="Arial" w:eastAsia="Arial" w:hAnsi="Arial"/>
          <w:sz w:val="32"/>
          <w:szCs w:val="32"/>
          <w:color w:val="auto"/>
        </w:rPr>
        <w:t>21.</w:t>
      </w:r>
      <w:r>
        <w:rPr>
          <w:rFonts w:ascii="宋体" w:cs="宋体" w:eastAsia="宋体" w:hAnsi="宋体"/>
          <w:sz w:val="32"/>
          <w:szCs w:val="32"/>
          <w:color w:val="auto"/>
        </w:rPr>
        <w:t>交易性金融负债</w:t>
      </w:r>
    </w:p>
    <w:p>
      <w:pPr>
        <w:spacing w:after="0" w:line="236" w:lineRule="exact"/>
        <w:rPr>
          <w:sz w:val="20"/>
          <w:szCs w:val="20"/>
          <w:color w:val="auto"/>
        </w:rPr>
      </w:pPr>
    </w:p>
    <w:p>
      <w:pPr>
        <w:ind w:left="1000"/>
        <w:spacing w:after="0" w:line="388" w:lineRule="exact"/>
        <w:rPr>
          <w:sz w:val="20"/>
          <w:szCs w:val="20"/>
          <w:color w:val="auto"/>
        </w:rPr>
      </w:pPr>
      <w:r>
        <w:rPr>
          <w:rFonts w:ascii="宋体" w:cs="宋体" w:eastAsia="宋体" w:hAnsi="宋体"/>
          <w:sz w:val="32"/>
          <w:szCs w:val="32"/>
          <w:color w:val="auto"/>
        </w:rPr>
        <w:t>（</w:t>
      </w:r>
      <w:r>
        <w:rPr>
          <w:rFonts w:ascii="Arial" w:cs="Arial" w:eastAsia="Arial" w:hAnsi="Arial"/>
          <w:sz w:val="32"/>
          <w:szCs w:val="32"/>
          <w:color w:val="auto"/>
        </w:rPr>
        <w:t>1</w:t>
      </w:r>
      <w:r>
        <w:rPr>
          <w:rFonts w:ascii="宋体" w:cs="宋体" w:eastAsia="宋体" w:hAnsi="宋体"/>
          <w:sz w:val="32"/>
          <w:szCs w:val="32"/>
          <w:color w:val="auto"/>
        </w:rPr>
        <w:t>）交易性金融负债的种类、账面金额。</w:t>
      </w:r>
    </w:p>
    <w:p>
      <w:pPr>
        <w:spacing w:after="0" w:line="236" w:lineRule="exact"/>
        <w:rPr>
          <w:sz w:val="20"/>
          <w:szCs w:val="20"/>
          <w:color w:val="auto"/>
        </w:rPr>
      </w:pPr>
    </w:p>
    <w:p>
      <w:pPr>
        <w:ind w:left="1000"/>
        <w:spacing w:after="0" w:line="388" w:lineRule="exact"/>
        <w:rPr>
          <w:sz w:val="20"/>
          <w:szCs w:val="20"/>
          <w:color w:val="auto"/>
        </w:rPr>
      </w:pPr>
      <w:r>
        <w:rPr>
          <w:rFonts w:ascii="宋体" w:cs="宋体" w:eastAsia="宋体" w:hAnsi="宋体"/>
          <w:sz w:val="32"/>
          <w:szCs w:val="32"/>
          <w:color w:val="auto"/>
        </w:rPr>
        <w:t>（</w:t>
      </w:r>
      <w:r>
        <w:rPr>
          <w:rFonts w:ascii="Arial" w:cs="Arial" w:eastAsia="Arial" w:hAnsi="Arial"/>
          <w:sz w:val="32"/>
          <w:szCs w:val="32"/>
          <w:color w:val="auto"/>
        </w:rPr>
        <w:t>2</w:t>
      </w:r>
      <w:r>
        <w:rPr>
          <w:rFonts w:ascii="宋体" w:cs="宋体" w:eastAsia="宋体" w:hAnsi="宋体"/>
          <w:sz w:val="32"/>
          <w:szCs w:val="32"/>
          <w:color w:val="auto"/>
        </w:rPr>
        <w:t>）交易性金融负债核实的方法和结论。</w:t>
      </w:r>
    </w:p>
    <w:p>
      <w:pPr>
        <w:spacing w:after="0" w:line="236" w:lineRule="exact"/>
        <w:rPr>
          <w:sz w:val="20"/>
          <w:szCs w:val="20"/>
          <w:color w:val="auto"/>
        </w:rPr>
      </w:pPr>
    </w:p>
    <w:p>
      <w:pPr>
        <w:ind w:left="1000"/>
        <w:spacing w:after="0" w:line="388" w:lineRule="exact"/>
        <w:rPr>
          <w:sz w:val="20"/>
          <w:szCs w:val="20"/>
          <w:color w:val="auto"/>
        </w:rPr>
      </w:pPr>
      <w:r>
        <w:rPr>
          <w:rFonts w:ascii="宋体" w:cs="宋体" w:eastAsia="宋体" w:hAnsi="宋体"/>
          <w:sz w:val="32"/>
          <w:szCs w:val="32"/>
          <w:color w:val="auto"/>
        </w:rPr>
        <w:t>（</w:t>
      </w:r>
      <w:r>
        <w:rPr>
          <w:rFonts w:ascii="Arial" w:cs="Arial" w:eastAsia="Arial" w:hAnsi="Arial"/>
          <w:sz w:val="32"/>
          <w:szCs w:val="32"/>
          <w:color w:val="auto"/>
        </w:rPr>
        <w:t>3</w:t>
      </w:r>
      <w:r>
        <w:rPr>
          <w:rFonts w:ascii="宋体" w:cs="宋体" w:eastAsia="宋体" w:hAnsi="宋体"/>
          <w:sz w:val="32"/>
          <w:szCs w:val="32"/>
          <w:color w:val="auto"/>
        </w:rPr>
        <w:t>）交易性金融负债评估值的确定方法和结论。</w:t>
      </w:r>
    </w:p>
    <w:p>
      <w:pPr>
        <w:spacing w:after="0" w:line="236" w:lineRule="exact"/>
        <w:rPr>
          <w:sz w:val="20"/>
          <w:szCs w:val="20"/>
          <w:color w:val="auto"/>
        </w:rPr>
      </w:pPr>
    </w:p>
    <w:p>
      <w:pPr>
        <w:ind w:left="1000"/>
        <w:spacing w:after="0" w:line="388" w:lineRule="exact"/>
        <w:rPr>
          <w:sz w:val="20"/>
          <w:szCs w:val="20"/>
          <w:color w:val="auto"/>
        </w:rPr>
      </w:pPr>
      <w:r>
        <w:rPr>
          <w:rFonts w:ascii="Arial" w:cs="Arial" w:eastAsia="Arial" w:hAnsi="Arial"/>
          <w:sz w:val="32"/>
          <w:szCs w:val="32"/>
          <w:color w:val="auto"/>
        </w:rPr>
        <w:t>22.</w:t>
      </w:r>
      <w:r>
        <w:rPr>
          <w:rFonts w:ascii="宋体" w:cs="宋体" w:eastAsia="宋体" w:hAnsi="宋体"/>
          <w:sz w:val="32"/>
          <w:szCs w:val="32"/>
          <w:color w:val="auto"/>
        </w:rPr>
        <w:t>衍生金融负债</w:t>
      </w:r>
    </w:p>
    <w:p>
      <w:pPr>
        <w:spacing w:after="0" w:line="237" w:lineRule="exact"/>
        <w:rPr>
          <w:sz w:val="20"/>
          <w:szCs w:val="20"/>
          <w:color w:val="auto"/>
        </w:rPr>
      </w:pPr>
    </w:p>
    <w:p>
      <w:pPr>
        <w:ind w:left="1000"/>
        <w:spacing w:after="0" w:line="388" w:lineRule="exact"/>
        <w:rPr>
          <w:sz w:val="20"/>
          <w:szCs w:val="20"/>
          <w:color w:val="auto"/>
        </w:rPr>
      </w:pPr>
      <w:r>
        <w:rPr>
          <w:rFonts w:ascii="宋体" w:cs="宋体" w:eastAsia="宋体" w:hAnsi="宋体"/>
          <w:sz w:val="32"/>
          <w:szCs w:val="32"/>
          <w:color w:val="auto"/>
        </w:rPr>
        <w:t>（</w:t>
      </w:r>
      <w:r>
        <w:rPr>
          <w:rFonts w:ascii="Arial" w:cs="Arial" w:eastAsia="Arial" w:hAnsi="Arial"/>
          <w:sz w:val="32"/>
          <w:szCs w:val="32"/>
          <w:color w:val="auto"/>
        </w:rPr>
        <w:t>1</w:t>
      </w:r>
      <w:r>
        <w:rPr>
          <w:rFonts w:ascii="宋体" w:cs="宋体" w:eastAsia="宋体" w:hAnsi="宋体"/>
          <w:sz w:val="32"/>
          <w:szCs w:val="32"/>
          <w:color w:val="auto"/>
        </w:rPr>
        <w:t>）衍生金融负债的种类、投资日期、持有数量、持</w:t>
      </w:r>
    </w:p>
    <w:p>
      <w:pPr>
        <w:spacing w:after="0" w:line="259"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有比例及账面金额。</w:t>
      </w:r>
    </w:p>
    <w:p>
      <w:pPr>
        <w:spacing w:after="0" w:line="236" w:lineRule="exact"/>
        <w:rPr>
          <w:sz w:val="20"/>
          <w:szCs w:val="20"/>
          <w:color w:val="auto"/>
        </w:rPr>
      </w:pPr>
    </w:p>
    <w:p>
      <w:pPr>
        <w:ind w:left="1000"/>
        <w:spacing w:after="0" w:line="388" w:lineRule="exact"/>
        <w:rPr>
          <w:sz w:val="20"/>
          <w:szCs w:val="20"/>
          <w:color w:val="auto"/>
        </w:rPr>
      </w:pPr>
      <w:r>
        <w:rPr>
          <w:rFonts w:ascii="宋体" w:cs="宋体" w:eastAsia="宋体" w:hAnsi="宋体"/>
          <w:sz w:val="32"/>
          <w:szCs w:val="32"/>
          <w:color w:val="auto"/>
        </w:rPr>
        <w:t>（</w:t>
      </w:r>
      <w:r>
        <w:rPr>
          <w:rFonts w:ascii="Arial" w:cs="Arial" w:eastAsia="Arial" w:hAnsi="Arial"/>
          <w:sz w:val="32"/>
          <w:szCs w:val="32"/>
          <w:color w:val="auto"/>
        </w:rPr>
        <w:t>2</w:t>
      </w:r>
      <w:r>
        <w:rPr>
          <w:rFonts w:ascii="宋体" w:cs="宋体" w:eastAsia="宋体" w:hAnsi="宋体"/>
          <w:sz w:val="32"/>
          <w:szCs w:val="32"/>
          <w:color w:val="auto"/>
        </w:rPr>
        <w:t>）衍生金融负债核实的方法和结论。</w:t>
      </w:r>
    </w:p>
    <w:p>
      <w:pPr>
        <w:spacing w:after="0" w:line="236" w:lineRule="exact"/>
        <w:rPr>
          <w:sz w:val="20"/>
          <w:szCs w:val="20"/>
          <w:color w:val="auto"/>
        </w:rPr>
      </w:pPr>
    </w:p>
    <w:p>
      <w:pPr>
        <w:ind w:left="1000"/>
        <w:spacing w:after="0" w:line="388" w:lineRule="exact"/>
        <w:rPr>
          <w:sz w:val="20"/>
          <w:szCs w:val="20"/>
          <w:color w:val="auto"/>
        </w:rPr>
      </w:pPr>
      <w:r>
        <w:rPr>
          <w:rFonts w:ascii="宋体" w:cs="宋体" w:eastAsia="宋体" w:hAnsi="宋体"/>
          <w:sz w:val="32"/>
          <w:szCs w:val="32"/>
          <w:color w:val="auto"/>
        </w:rPr>
        <w:t>（</w:t>
      </w:r>
      <w:r>
        <w:rPr>
          <w:rFonts w:ascii="Arial" w:cs="Arial" w:eastAsia="Arial" w:hAnsi="Arial"/>
          <w:sz w:val="32"/>
          <w:szCs w:val="32"/>
          <w:color w:val="auto"/>
        </w:rPr>
        <w:t>3</w:t>
      </w:r>
      <w:r>
        <w:rPr>
          <w:rFonts w:ascii="宋体" w:cs="宋体" w:eastAsia="宋体" w:hAnsi="宋体"/>
          <w:sz w:val="32"/>
          <w:szCs w:val="32"/>
          <w:color w:val="auto"/>
        </w:rPr>
        <w:t>）衍生金融负债评估值的确定方法和结论。</w:t>
      </w:r>
    </w:p>
    <w:p>
      <w:pPr>
        <w:spacing w:after="0" w:line="236" w:lineRule="exact"/>
        <w:rPr>
          <w:sz w:val="20"/>
          <w:szCs w:val="20"/>
          <w:color w:val="auto"/>
        </w:rPr>
      </w:pPr>
    </w:p>
    <w:p>
      <w:pPr>
        <w:ind w:left="1000"/>
        <w:spacing w:after="0" w:line="388" w:lineRule="exact"/>
        <w:rPr>
          <w:sz w:val="20"/>
          <w:szCs w:val="20"/>
          <w:color w:val="auto"/>
        </w:rPr>
      </w:pPr>
      <w:r>
        <w:rPr>
          <w:rFonts w:ascii="Arial" w:cs="Arial" w:eastAsia="Arial" w:hAnsi="Arial"/>
          <w:sz w:val="32"/>
          <w:szCs w:val="32"/>
          <w:color w:val="auto"/>
        </w:rPr>
        <w:t>23.</w:t>
      </w:r>
      <w:r>
        <w:rPr>
          <w:rFonts w:ascii="宋体" w:cs="宋体" w:eastAsia="宋体" w:hAnsi="宋体"/>
          <w:sz w:val="32"/>
          <w:szCs w:val="32"/>
          <w:color w:val="auto"/>
        </w:rPr>
        <w:t>卖出回购金融资产款</w:t>
      </w:r>
    </w:p>
    <w:p>
      <w:pPr>
        <w:spacing w:after="0" w:line="236" w:lineRule="exact"/>
        <w:rPr>
          <w:sz w:val="20"/>
          <w:szCs w:val="20"/>
          <w:color w:val="auto"/>
        </w:rPr>
      </w:pPr>
    </w:p>
    <w:p>
      <w:pPr>
        <w:ind w:left="1000"/>
        <w:spacing w:after="0" w:line="388" w:lineRule="exact"/>
        <w:rPr>
          <w:sz w:val="20"/>
          <w:szCs w:val="20"/>
          <w:color w:val="auto"/>
        </w:rPr>
      </w:pPr>
      <w:r>
        <w:rPr>
          <w:rFonts w:ascii="宋体" w:cs="宋体" w:eastAsia="宋体" w:hAnsi="宋体"/>
          <w:sz w:val="32"/>
          <w:szCs w:val="32"/>
          <w:color w:val="auto"/>
        </w:rPr>
        <w:t>（</w:t>
      </w:r>
      <w:r>
        <w:rPr>
          <w:rFonts w:ascii="Arial" w:cs="Arial" w:eastAsia="Arial" w:hAnsi="Arial"/>
          <w:sz w:val="32"/>
          <w:szCs w:val="32"/>
          <w:color w:val="auto"/>
        </w:rPr>
        <w:t>1</w:t>
      </w:r>
      <w:r>
        <w:rPr>
          <w:rFonts w:ascii="宋体" w:cs="宋体" w:eastAsia="宋体" w:hAnsi="宋体"/>
          <w:sz w:val="32"/>
          <w:szCs w:val="32"/>
          <w:color w:val="auto"/>
        </w:rPr>
        <w:t>）卖出回购金融资产款的种类、账面金额。</w:t>
      </w:r>
    </w:p>
    <w:p>
      <w:pPr>
        <w:spacing w:after="0" w:line="237" w:lineRule="exact"/>
        <w:rPr>
          <w:sz w:val="20"/>
          <w:szCs w:val="20"/>
          <w:color w:val="auto"/>
        </w:rPr>
      </w:pPr>
    </w:p>
    <w:p>
      <w:pPr>
        <w:ind w:left="1000"/>
        <w:spacing w:after="0" w:line="388" w:lineRule="exact"/>
        <w:rPr>
          <w:sz w:val="20"/>
          <w:szCs w:val="20"/>
          <w:color w:val="auto"/>
        </w:rPr>
      </w:pPr>
      <w:r>
        <w:rPr>
          <w:rFonts w:ascii="宋体" w:cs="宋体" w:eastAsia="宋体" w:hAnsi="宋体"/>
          <w:sz w:val="32"/>
          <w:szCs w:val="32"/>
          <w:color w:val="auto"/>
        </w:rPr>
        <w:t>（</w:t>
      </w:r>
      <w:r>
        <w:rPr>
          <w:rFonts w:ascii="Arial" w:cs="Arial" w:eastAsia="Arial" w:hAnsi="Arial"/>
          <w:sz w:val="32"/>
          <w:szCs w:val="32"/>
          <w:color w:val="auto"/>
        </w:rPr>
        <w:t>2</w:t>
      </w:r>
      <w:r>
        <w:rPr>
          <w:rFonts w:ascii="宋体" w:cs="宋体" w:eastAsia="宋体" w:hAnsi="宋体"/>
          <w:sz w:val="32"/>
          <w:szCs w:val="32"/>
          <w:color w:val="auto"/>
        </w:rPr>
        <w:t>）卖出回购金融资产款核实的方法和结论。</w:t>
      </w:r>
    </w:p>
    <w:p>
      <w:pPr>
        <w:spacing w:after="0" w:line="236" w:lineRule="exact"/>
        <w:rPr>
          <w:sz w:val="20"/>
          <w:szCs w:val="20"/>
          <w:color w:val="auto"/>
        </w:rPr>
      </w:pPr>
    </w:p>
    <w:p>
      <w:pPr>
        <w:ind w:left="1000"/>
        <w:spacing w:after="0" w:line="388" w:lineRule="exact"/>
        <w:rPr>
          <w:sz w:val="20"/>
          <w:szCs w:val="20"/>
          <w:color w:val="auto"/>
        </w:rPr>
      </w:pPr>
      <w:r>
        <w:rPr>
          <w:rFonts w:ascii="宋体" w:cs="宋体" w:eastAsia="宋体" w:hAnsi="宋体"/>
          <w:sz w:val="32"/>
          <w:szCs w:val="32"/>
          <w:color w:val="auto"/>
        </w:rPr>
        <w:t>（</w:t>
      </w:r>
      <w:r>
        <w:rPr>
          <w:rFonts w:ascii="Arial" w:cs="Arial" w:eastAsia="Arial" w:hAnsi="Arial"/>
          <w:sz w:val="32"/>
          <w:szCs w:val="32"/>
          <w:color w:val="auto"/>
        </w:rPr>
        <w:t>3</w:t>
      </w:r>
      <w:r>
        <w:rPr>
          <w:rFonts w:ascii="宋体" w:cs="宋体" w:eastAsia="宋体" w:hAnsi="宋体"/>
          <w:sz w:val="32"/>
          <w:szCs w:val="32"/>
          <w:color w:val="auto"/>
        </w:rPr>
        <w:t>）卖出回购金融资产款评估值的确定方法和结论。</w:t>
      </w:r>
    </w:p>
    <w:p>
      <w:pPr>
        <w:spacing w:after="0" w:line="236" w:lineRule="exact"/>
        <w:rPr>
          <w:sz w:val="20"/>
          <w:szCs w:val="20"/>
          <w:color w:val="auto"/>
        </w:rPr>
      </w:pPr>
    </w:p>
    <w:p>
      <w:pPr>
        <w:ind w:left="1000"/>
        <w:spacing w:after="0" w:line="388" w:lineRule="exact"/>
        <w:rPr>
          <w:sz w:val="20"/>
          <w:szCs w:val="20"/>
          <w:color w:val="auto"/>
        </w:rPr>
      </w:pPr>
      <w:r>
        <w:rPr>
          <w:rFonts w:ascii="Arial" w:cs="Arial" w:eastAsia="Arial" w:hAnsi="Arial"/>
          <w:sz w:val="32"/>
          <w:szCs w:val="32"/>
          <w:color w:val="auto"/>
        </w:rPr>
        <w:t>24.</w:t>
      </w:r>
      <w:r>
        <w:rPr>
          <w:rFonts w:ascii="宋体" w:cs="宋体" w:eastAsia="宋体" w:hAnsi="宋体"/>
          <w:sz w:val="32"/>
          <w:szCs w:val="32"/>
          <w:color w:val="auto"/>
        </w:rPr>
        <w:t>吸收存款</w:t>
      </w:r>
    </w:p>
    <w:p>
      <w:pPr>
        <w:spacing w:after="0" w:line="236" w:lineRule="exact"/>
        <w:rPr>
          <w:sz w:val="20"/>
          <w:szCs w:val="20"/>
          <w:color w:val="auto"/>
        </w:rPr>
      </w:pPr>
    </w:p>
    <w:p>
      <w:pPr>
        <w:ind w:left="1000"/>
        <w:spacing w:after="0" w:line="388" w:lineRule="exact"/>
        <w:rPr>
          <w:sz w:val="20"/>
          <w:szCs w:val="20"/>
          <w:color w:val="auto"/>
        </w:rPr>
      </w:pPr>
      <w:r>
        <w:rPr>
          <w:rFonts w:ascii="宋体" w:cs="宋体" w:eastAsia="宋体" w:hAnsi="宋体"/>
          <w:sz w:val="32"/>
          <w:szCs w:val="32"/>
          <w:color w:val="auto"/>
        </w:rPr>
        <w:t>（</w:t>
      </w:r>
      <w:r>
        <w:rPr>
          <w:rFonts w:ascii="Arial" w:cs="Arial" w:eastAsia="Arial" w:hAnsi="Arial"/>
          <w:sz w:val="32"/>
          <w:szCs w:val="32"/>
          <w:color w:val="auto"/>
        </w:rPr>
        <w:t>1</w:t>
      </w:r>
      <w:r>
        <w:rPr>
          <w:rFonts w:ascii="宋体" w:cs="宋体" w:eastAsia="宋体" w:hAnsi="宋体"/>
          <w:sz w:val="32"/>
          <w:szCs w:val="32"/>
          <w:color w:val="auto"/>
        </w:rPr>
        <w:t>）吸收存款的金额，存款的分类。</w:t>
      </w:r>
    </w:p>
    <w:p>
      <w:pPr>
        <w:spacing w:after="0" w:line="248" w:lineRule="exact"/>
        <w:rPr>
          <w:sz w:val="20"/>
          <w:szCs w:val="20"/>
          <w:color w:val="auto"/>
        </w:rPr>
      </w:pPr>
    </w:p>
    <w:p>
      <w:pPr>
        <w:ind w:left="1000"/>
        <w:spacing w:after="0" w:line="376" w:lineRule="exact"/>
        <w:rPr>
          <w:sz w:val="20"/>
          <w:szCs w:val="20"/>
          <w:color w:val="auto"/>
        </w:rPr>
      </w:pPr>
      <w:r>
        <w:rPr>
          <w:rFonts w:ascii="宋体" w:cs="宋体" w:eastAsia="宋体" w:hAnsi="宋体"/>
          <w:sz w:val="31"/>
          <w:szCs w:val="31"/>
          <w:color w:val="auto"/>
        </w:rPr>
        <w:t>（</w:t>
      </w:r>
      <w:r>
        <w:rPr>
          <w:rFonts w:ascii="Arial" w:cs="Arial" w:eastAsia="Arial" w:hAnsi="Arial"/>
          <w:sz w:val="31"/>
          <w:szCs w:val="31"/>
          <w:color w:val="auto"/>
        </w:rPr>
        <w:t>2</w:t>
      </w:r>
      <w:r>
        <w:rPr>
          <w:rFonts w:ascii="宋体" w:cs="宋体" w:eastAsia="宋体" w:hAnsi="宋体"/>
          <w:sz w:val="31"/>
          <w:szCs w:val="31"/>
          <w:color w:val="auto"/>
        </w:rPr>
        <w:t>）吸收存款的构成（一年期以上的存款、活期存款、</w:t>
      </w:r>
    </w:p>
    <w:p>
      <w:pPr>
        <w:spacing w:after="0" w:line="259"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通知存款等）。</w:t>
      </w:r>
    </w:p>
    <w:p>
      <w:pPr>
        <w:spacing w:after="0" w:line="237" w:lineRule="exact"/>
        <w:rPr>
          <w:sz w:val="20"/>
          <w:szCs w:val="20"/>
          <w:color w:val="auto"/>
        </w:rPr>
      </w:pPr>
    </w:p>
    <w:p>
      <w:pPr>
        <w:ind w:left="1000"/>
        <w:spacing w:after="0" w:line="388" w:lineRule="exact"/>
        <w:rPr>
          <w:sz w:val="20"/>
          <w:szCs w:val="20"/>
          <w:color w:val="auto"/>
        </w:rPr>
      </w:pPr>
      <w:r>
        <w:rPr>
          <w:rFonts w:ascii="宋体" w:cs="宋体" w:eastAsia="宋体" w:hAnsi="宋体"/>
          <w:sz w:val="32"/>
          <w:szCs w:val="32"/>
          <w:color w:val="auto"/>
        </w:rPr>
        <w:t>（</w:t>
      </w:r>
      <w:r>
        <w:rPr>
          <w:rFonts w:ascii="Arial" w:cs="Arial" w:eastAsia="Arial" w:hAnsi="Arial"/>
          <w:sz w:val="32"/>
          <w:szCs w:val="32"/>
          <w:color w:val="auto"/>
        </w:rPr>
        <w:t>3</w:t>
      </w:r>
      <w:r>
        <w:rPr>
          <w:rFonts w:ascii="宋体" w:cs="宋体" w:eastAsia="宋体" w:hAnsi="宋体"/>
          <w:sz w:val="32"/>
          <w:szCs w:val="32"/>
          <w:color w:val="auto"/>
        </w:rPr>
        <w:t>）吸收存款评估值的确定方法和结论。</w:t>
      </w:r>
    </w:p>
    <w:p>
      <w:pPr>
        <w:spacing w:after="0" w:line="236" w:lineRule="exact"/>
        <w:rPr>
          <w:sz w:val="20"/>
          <w:szCs w:val="20"/>
          <w:color w:val="auto"/>
        </w:rPr>
      </w:pPr>
    </w:p>
    <w:p>
      <w:pPr>
        <w:ind w:left="1000"/>
        <w:spacing w:after="0" w:line="388" w:lineRule="exact"/>
        <w:rPr>
          <w:sz w:val="20"/>
          <w:szCs w:val="20"/>
          <w:color w:val="auto"/>
        </w:rPr>
      </w:pPr>
      <w:r>
        <w:rPr>
          <w:rFonts w:ascii="Arial" w:cs="Arial" w:eastAsia="Arial" w:hAnsi="Arial"/>
          <w:sz w:val="32"/>
          <w:szCs w:val="32"/>
          <w:color w:val="auto"/>
        </w:rPr>
        <w:t>25</w:t>
      </w:r>
      <w:r>
        <w:rPr>
          <w:rFonts w:ascii="宋体" w:cs="宋体" w:eastAsia="宋体" w:hAnsi="宋体"/>
          <w:sz w:val="32"/>
          <w:szCs w:val="32"/>
          <w:color w:val="auto"/>
        </w:rPr>
        <w:t>．应付职工薪酬</w:t>
      </w:r>
    </w:p>
    <w:p>
      <w:pPr>
        <w:spacing w:after="0" w:line="236" w:lineRule="exact"/>
        <w:rPr>
          <w:sz w:val="20"/>
          <w:szCs w:val="20"/>
          <w:color w:val="auto"/>
        </w:rPr>
      </w:pPr>
    </w:p>
    <w:p>
      <w:pPr>
        <w:ind w:left="1000"/>
        <w:spacing w:after="0" w:line="388" w:lineRule="exact"/>
        <w:rPr>
          <w:sz w:val="20"/>
          <w:szCs w:val="20"/>
          <w:color w:val="auto"/>
        </w:rPr>
      </w:pPr>
      <w:r>
        <w:rPr>
          <w:rFonts w:ascii="宋体" w:cs="宋体" w:eastAsia="宋体" w:hAnsi="宋体"/>
          <w:sz w:val="32"/>
          <w:szCs w:val="32"/>
          <w:color w:val="auto"/>
        </w:rPr>
        <w:t>（</w:t>
      </w:r>
      <w:r>
        <w:rPr>
          <w:rFonts w:ascii="Arial" w:cs="Arial" w:eastAsia="Arial" w:hAnsi="Arial"/>
          <w:sz w:val="32"/>
          <w:szCs w:val="32"/>
          <w:color w:val="auto"/>
        </w:rPr>
        <w:t>1</w:t>
      </w:r>
      <w:r>
        <w:rPr>
          <w:rFonts w:ascii="宋体" w:cs="宋体" w:eastAsia="宋体" w:hAnsi="宋体"/>
          <w:sz w:val="32"/>
          <w:szCs w:val="32"/>
          <w:color w:val="auto"/>
        </w:rPr>
        <w:t>）应付职工薪酬的内容和金额。</w:t>
      </w:r>
    </w:p>
    <w:p>
      <w:pPr>
        <w:sectPr>
          <w:pgSz w:w="11900" w:h="16838" w:orient="portrait"/>
          <w:cols w:equalWidth="0" w:num="1">
            <w:col w:w="9026"/>
          </w:cols>
          <w:pgMar w:left="1440" w:top="1440" w:right="1440" w:bottom="1440" w:gutter="0" w:footer="0" w:header="0"/>
        </w:sectPr>
      </w:pPr>
    </w:p>
    <w:bookmarkStart w:id="41" w:name="page42"/>
    <w:bookmarkEnd w:id="41"/>
    <w:p>
      <w:pPr>
        <w:spacing w:after="0" w:line="81" w:lineRule="exact"/>
        <w:rPr>
          <w:sz w:val="20"/>
          <w:szCs w:val="20"/>
          <w:color w:val="auto"/>
        </w:rPr>
      </w:pPr>
    </w:p>
    <w:p>
      <w:pPr>
        <w:ind w:left="1000"/>
        <w:spacing w:after="0" w:line="388" w:lineRule="exact"/>
        <w:rPr>
          <w:sz w:val="20"/>
          <w:szCs w:val="20"/>
          <w:color w:val="auto"/>
        </w:rPr>
      </w:pPr>
      <w:r>
        <w:rPr>
          <w:rFonts w:ascii="宋体" w:cs="宋体" w:eastAsia="宋体" w:hAnsi="宋体"/>
          <w:sz w:val="32"/>
          <w:szCs w:val="32"/>
          <w:color w:val="auto"/>
        </w:rPr>
        <w:t>（</w:t>
      </w:r>
      <w:r>
        <w:rPr>
          <w:rFonts w:ascii="Arial" w:cs="Arial" w:eastAsia="Arial" w:hAnsi="Arial"/>
          <w:sz w:val="32"/>
          <w:szCs w:val="32"/>
          <w:color w:val="auto"/>
        </w:rPr>
        <w:t>2</w:t>
      </w:r>
      <w:r>
        <w:rPr>
          <w:rFonts w:ascii="宋体" w:cs="宋体" w:eastAsia="宋体" w:hAnsi="宋体"/>
          <w:sz w:val="32"/>
          <w:szCs w:val="32"/>
          <w:color w:val="auto"/>
        </w:rPr>
        <w:t>）被评估单位相关职工薪酬政策。</w:t>
      </w:r>
    </w:p>
    <w:p>
      <w:pPr>
        <w:spacing w:after="0" w:line="237" w:lineRule="exact"/>
        <w:rPr>
          <w:sz w:val="20"/>
          <w:szCs w:val="20"/>
          <w:color w:val="auto"/>
        </w:rPr>
      </w:pPr>
    </w:p>
    <w:p>
      <w:pPr>
        <w:ind w:left="1000"/>
        <w:spacing w:after="0" w:line="388" w:lineRule="exact"/>
        <w:rPr>
          <w:sz w:val="20"/>
          <w:szCs w:val="20"/>
          <w:color w:val="auto"/>
        </w:rPr>
      </w:pPr>
      <w:r>
        <w:rPr>
          <w:rFonts w:ascii="宋体" w:cs="宋体" w:eastAsia="宋体" w:hAnsi="宋体"/>
          <w:sz w:val="32"/>
          <w:szCs w:val="32"/>
          <w:color w:val="auto"/>
        </w:rPr>
        <w:t>（</w:t>
      </w:r>
      <w:r>
        <w:rPr>
          <w:rFonts w:ascii="Arial" w:cs="Arial" w:eastAsia="Arial" w:hAnsi="Arial"/>
          <w:sz w:val="32"/>
          <w:szCs w:val="32"/>
          <w:color w:val="auto"/>
        </w:rPr>
        <w:t>3</w:t>
      </w:r>
      <w:r>
        <w:rPr>
          <w:rFonts w:ascii="宋体" w:cs="宋体" w:eastAsia="宋体" w:hAnsi="宋体"/>
          <w:sz w:val="32"/>
          <w:szCs w:val="32"/>
          <w:color w:val="auto"/>
        </w:rPr>
        <w:t>）工资、职工福利、社会保险费、住房公积金、工</w:t>
      </w:r>
    </w:p>
    <w:p>
      <w:pPr>
        <w:spacing w:after="0" w:line="259"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会经费、职工教育经费、非货币性福利、辞退福利等项目的</w:t>
      </w:r>
    </w:p>
    <w:p>
      <w:pPr>
        <w:spacing w:after="0" w:line="259"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核实方法和结论。</w:t>
      </w:r>
    </w:p>
    <w:p>
      <w:pPr>
        <w:spacing w:after="0" w:line="248" w:lineRule="exact"/>
        <w:rPr>
          <w:sz w:val="20"/>
          <w:szCs w:val="20"/>
          <w:color w:val="auto"/>
        </w:rPr>
      </w:pPr>
    </w:p>
    <w:p>
      <w:pPr>
        <w:ind w:left="1000"/>
        <w:spacing w:after="0" w:line="376" w:lineRule="exact"/>
        <w:rPr>
          <w:sz w:val="20"/>
          <w:szCs w:val="20"/>
          <w:color w:val="auto"/>
        </w:rPr>
      </w:pPr>
      <w:r>
        <w:rPr>
          <w:rFonts w:ascii="宋体" w:cs="宋体" w:eastAsia="宋体" w:hAnsi="宋体"/>
          <w:sz w:val="31"/>
          <w:szCs w:val="31"/>
          <w:color w:val="auto"/>
        </w:rPr>
        <w:t>（</w:t>
      </w:r>
      <w:r>
        <w:rPr>
          <w:rFonts w:ascii="Arial" w:cs="Arial" w:eastAsia="Arial" w:hAnsi="Arial"/>
          <w:sz w:val="31"/>
          <w:szCs w:val="31"/>
          <w:color w:val="auto"/>
        </w:rPr>
        <w:t>4</w:t>
      </w:r>
      <w:r>
        <w:rPr>
          <w:rFonts w:ascii="宋体" w:cs="宋体" w:eastAsia="宋体" w:hAnsi="宋体"/>
          <w:sz w:val="31"/>
          <w:szCs w:val="31"/>
          <w:color w:val="auto"/>
        </w:rPr>
        <w:t>）对于无须支付的职工薪酬，应当说明依据和理由。</w:t>
      </w:r>
    </w:p>
    <w:p>
      <w:pPr>
        <w:spacing w:after="0" w:line="236" w:lineRule="exact"/>
        <w:rPr>
          <w:sz w:val="20"/>
          <w:szCs w:val="20"/>
          <w:color w:val="auto"/>
        </w:rPr>
      </w:pPr>
    </w:p>
    <w:p>
      <w:pPr>
        <w:ind w:left="1000"/>
        <w:spacing w:after="0" w:line="388" w:lineRule="exact"/>
        <w:rPr>
          <w:sz w:val="20"/>
          <w:szCs w:val="20"/>
          <w:color w:val="auto"/>
        </w:rPr>
      </w:pPr>
      <w:r>
        <w:rPr>
          <w:rFonts w:ascii="宋体" w:cs="宋体" w:eastAsia="宋体" w:hAnsi="宋体"/>
          <w:sz w:val="32"/>
          <w:szCs w:val="32"/>
          <w:color w:val="auto"/>
        </w:rPr>
        <w:t>（</w:t>
      </w:r>
      <w:r>
        <w:rPr>
          <w:rFonts w:ascii="Arial" w:cs="Arial" w:eastAsia="Arial" w:hAnsi="Arial"/>
          <w:sz w:val="32"/>
          <w:szCs w:val="32"/>
          <w:color w:val="auto"/>
        </w:rPr>
        <w:t>5</w:t>
      </w:r>
      <w:r>
        <w:rPr>
          <w:rFonts w:ascii="宋体" w:cs="宋体" w:eastAsia="宋体" w:hAnsi="宋体"/>
          <w:sz w:val="32"/>
          <w:szCs w:val="32"/>
          <w:color w:val="auto"/>
        </w:rPr>
        <w:t>）应付职工薪酬评估值的确定方法和结论。</w:t>
      </w:r>
    </w:p>
    <w:p>
      <w:pPr>
        <w:spacing w:after="0" w:line="236" w:lineRule="exact"/>
        <w:rPr>
          <w:sz w:val="20"/>
          <w:szCs w:val="20"/>
          <w:color w:val="auto"/>
        </w:rPr>
      </w:pPr>
    </w:p>
    <w:p>
      <w:pPr>
        <w:ind w:left="1000"/>
        <w:spacing w:after="0" w:line="388" w:lineRule="exact"/>
        <w:rPr>
          <w:sz w:val="20"/>
          <w:szCs w:val="20"/>
          <w:color w:val="auto"/>
        </w:rPr>
      </w:pPr>
      <w:r>
        <w:rPr>
          <w:rFonts w:ascii="Arial" w:cs="Arial" w:eastAsia="Arial" w:hAnsi="Arial"/>
          <w:sz w:val="32"/>
          <w:szCs w:val="32"/>
          <w:color w:val="auto"/>
        </w:rPr>
        <w:t>26</w:t>
      </w:r>
      <w:r>
        <w:rPr>
          <w:rFonts w:ascii="宋体" w:cs="宋体" w:eastAsia="宋体" w:hAnsi="宋体"/>
          <w:sz w:val="32"/>
          <w:szCs w:val="32"/>
          <w:color w:val="auto"/>
        </w:rPr>
        <w:t>．应交税费</w:t>
      </w:r>
    </w:p>
    <w:p>
      <w:pPr>
        <w:spacing w:after="0" w:line="237" w:lineRule="exact"/>
        <w:rPr>
          <w:sz w:val="20"/>
          <w:szCs w:val="20"/>
          <w:color w:val="auto"/>
        </w:rPr>
      </w:pPr>
    </w:p>
    <w:p>
      <w:pPr>
        <w:ind w:left="1000"/>
        <w:spacing w:after="0" w:line="388" w:lineRule="exact"/>
        <w:rPr>
          <w:sz w:val="20"/>
          <w:szCs w:val="20"/>
          <w:color w:val="auto"/>
        </w:rPr>
      </w:pPr>
      <w:r>
        <w:rPr>
          <w:rFonts w:ascii="宋体" w:cs="宋体" w:eastAsia="宋体" w:hAnsi="宋体"/>
          <w:sz w:val="32"/>
          <w:szCs w:val="32"/>
          <w:color w:val="auto"/>
        </w:rPr>
        <w:t>（</w:t>
      </w:r>
      <w:r>
        <w:rPr>
          <w:rFonts w:ascii="Arial" w:cs="Arial" w:eastAsia="Arial" w:hAnsi="Arial"/>
          <w:sz w:val="32"/>
          <w:szCs w:val="32"/>
          <w:color w:val="auto"/>
        </w:rPr>
        <w:t>1</w:t>
      </w:r>
      <w:r>
        <w:rPr>
          <w:rFonts w:ascii="宋体" w:cs="宋体" w:eastAsia="宋体" w:hAnsi="宋体"/>
          <w:sz w:val="32"/>
          <w:szCs w:val="32"/>
          <w:color w:val="auto"/>
        </w:rPr>
        <w:t>）应交税费的内容和对应金额。</w:t>
      </w:r>
    </w:p>
    <w:p>
      <w:pPr>
        <w:spacing w:after="0" w:line="236" w:lineRule="exact"/>
        <w:rPr>
          <w:sz w:val="20"/>
          <w:szCs w:val="20"/>
          <w:color w:val="auto"/>
        </w:rPr>
      </w:pPr>
    </w:p>
    <w:p>
      <w:pPr>
        <w:ind w:left="1000"/>
        <w:spacing w:after="0" w:line="388" w:lineRule="exact"/>
        <w:rPr>
          <w:sz w:val="20"/>
          <w:szCs w:val="20"/>
          <w:color w:val="auto"/>
        </w:rPr>
      </w:pPr>
      <w:r>
        <w:rPr>
          <w:rFonts w:ascii="宋体" w:cs="宋体" w:eastAsia="宋体" w:hAnsi="宋体"/>
          <w:sz w:val="32"/>
          <w:szCs w:val="32"/>
          <w:color w:val="auto"/>
        </w:rPr>
        <w:t>（</w:t>
      </w:r>
      <w:r>
        <w:rPr>
          <w:rFonts w:ascii="Arial" w:cs="Arial" w:eastAsia="Arial" w:hAnsi="Arial"/>
          <w:sz w:val="32"/>
          <w:szCs w:val="32"/>
          <w:color w:val="auto"/>
        </w:rPr>
        <w:t>2</w:t>
      </w:r>
      <w:r>
        <w:rPr>
          <w:rFonts w:ascii="宋体" w:cs="宋体" w:eastAsia="宋体" w:hAnsi="宋体"/>
          <w:sz w:val="32"/>
          <w:szCs w:val="32"/>
          <w:color w:val="auto"/>
        </w:rPr>
        <w:t>）被评估单位相关的税收政策，说明被评估单位所</w:t>
      </w:r>
    </w:p>
    <w:p>
      <w:pPr>
        <w:spacing w:after="0" w:line="259"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享有的优惠税收政策，享有优惠政策的期限和批准单位等。</w:t>
      </w:r>
    </w:p>
    <w:p>
      <w:pPr>
        <w:spacing w:after="0" w:line="236" w:lineRule="exact"/>
        <w:rPr>
          <w:sz w:val="20"/>
          <w:szCs w:val="20"/>
          <w:color w:val="auto"/>
        </w:rPr>
      </w:pPr>
    </w:p>
    <w:p>
      <w:pPr>
        <w:ind w:left="1000"/>
        <w:spacing w:after="0" w:line="388" w:lineRule="exact"/>
        <w:rPr>
          <w:sz w:val="20"/>
          <w:szCs w:val="20"/>
          <w:color w:val="auto"/>
        </w:rPr>
      </w:pPr>
      <w:r>
        <w:rPr>
          <w:rFonts w:ascii="宋体" w:cs="宋体" w:eastAsia="宋体" w:hAnsi="宋体"/>
          <w:sz w:val="32"/>
          <w:szCs w:val="32"/>
          <w:color w:val="auto"/>
        </w:rPr>
        <w:t>（</w:t>
      </w:r>
      <w:r>
        <w:rPr>
          <w:rFonts w:ascii="Arial" w:cs="Arial" w:eastAsia="Arial" w:hAnsi="Arial"/>
          <w:sz w:val="32"/>
          <w:szCs w:val="32"/>
          <w:color w:val="auto"/>
        </w:rPr>
        <w:t>3</w:t>
      </w:r>
      <w:r>
        <w:rPr>
          <w:rFonts w:ascii="宋体" w:cs="宋体" w:eastAsia="宋体" w:hAnsi="宋体"/>
          <w:sz w:val="32"/>
          <w:szCs w:val="32"/>
          <w:color w:val="auto"/>
        </w:rPr>
        <w:t>）应交税费核实的方法和结论。</w:t>
      </w:r>
    </w:p>
    <w:p>
      <w:pPr>
        <w:spacing w:after="0" w:line="236" w:lineRule="exact"/>
        <w:rPr>
          <w:sz w:val="20"/>
          <w:szCs w:val="20"/>
          <w:color w:val="auto"/>
        </w:rPr>
      </w:pPr>
    </w:p>
    <w:p>
      <w:pPr>
        <w:ind w:left="1000"/>
        <w:spacing w:after="0" w:line="388" w:lineRule="exact"/>
        <w:rPr>
          <w:sz w:val="20"/>
          <w:szCs w:val="20"/>
          <w:color w:val="auto"/>
        </w:rPr>
      </w:pPr>
      <w:r>
        <w:rPr>
          <w:rFonts w:ascii="宋体" w:cs="宋体" w:eastAsia="宋体" w:hAnsi="宋体"/>
          <w:sz w:val="32"/>
          <w:szCs w:val="32"/>
          <w:color w:val="auto"/>
        </w:rPr>
        <w:t>（</w:t>
      </w:r>
      <w:r>
        <w:rPr>
          <w:rFonts w:ascii="Arial" w:cs="Arial" w:eastAsia="Arial" w:hAnsi="Arial"/>
          <w:sz w:val="32"/>
          <w:szCs w:val="32"/>
          <w:color w:val="auto"/>
        </w:rPr>
        <w:t>4</w:t>
      </w:r>
      <w:r>
        <w:rPr>
          <w:rFonts w:ascii="宋体" w:cs="宋体" w:eastAsia="宋体" w:hAnsi="宋体"/>
          <w:sz w:val="32"/>
          <w:szCs w:val="32"/>
          <w:color w:val="auto"/>
        </w:rPr>
        <w:t>）借方余额的原因及评估方法。</w:t>
      </w:r>
    </w:p>
    <w:p>
      <w:pPr>
        <w:spacing w:after="0" w:line="236" w:lineRule="exact"/>
        <w:rPr>
          <w:sz w:val="20"/>
          <w:szCs w:val="20"/>
          <w:color w:val="auto"/>
        </w:rPr>
      </w:pPr>
    </w:p>
    <w:p>
      <w:pPr>
        <w:ind w:left="1000"/>
        <w:spacing w:after="0" w:line="388" w:lineRule="exact"/>
        <w:rPr>
          <w:sz w:val="20"/>
          <w:szCs w:val="20"/>
          <w:color w:val="auto"/>
        </w:rPr>
      </w:pPr>
      <w:r>
        <w:rPr>
          <w:rFonts w:ascii="宋体" w:cs="宋体" w:eastAsia="宋体" w:hAnsi="宋体"/>
          <w:sz w:val="32"/>
          <w:szCs w:val="32"/>
          <w:color w:val="auto"/>
        </w:rPr>
        <w:t>（</w:t>
      </w:r>
      <w:r>
        <w:rPr>
          <w:rFonts w:ascii="Arial" w:cs="Arial" w:eastAsia="Arial" w:hAnsi="Arial"/>
          <w:sz w:val="32"/>
          <w:szCs w:val="32"/>
          <w:color w:val="auto"/>
        </w:rPr>
        <w:t>5</w:t>
      </w:r>
      <w:r>
        <w:rPr>
          <w:rFonts w:ascii="宋体" w:cs="宋体" w:eastAsia="宋体" w:hAnsi="宋体"/>
          <w:sz w:val="32"/>
          <w:szCs w:val="32"/>
          <w:color w:val="auto"/>
        </w:rPr>
        <w:t>）应交税费评估值的确定方法和结论。</w:t>
      </w:r>
    </w:p>
    <w:p>
      <w:pPr>
        <w:spacing w:after="0" w:line="237" w:lineRule="exact"/>
        <w:rPr>
          <w:sz w:val="20"/>
          <w:szCs w:val="20"/>
          <w:color w:val="auto"/>
        </w:rPr>
      </w:pPr>
    </w:p>
    <w:p>
      <w:pPr>
        <w:ind w:left="1000"/>
        <w:spacing w:after="0" w:line="388" w:lineRule="exact"/>
        <w:rPr>
          <w:sz w:val="20"/>
          <w:szCs w:val="20"/>
          <w:color w:val="auto"/>
        </w:rPr>
      </w:pPr>
      <w:r>
        <w:rPr>
          <w:rFonts w:ascii="Arial" w:cs="Arial" w:eastAsia="Arial" w:hAnsi="Arial"/>
          <w:sz w:val="32"/>
          <w:szCs w:val="32"/>
          <w:color w:val="auto"/>
        </w:rPr>
        <w:t>27</w:t>
      </w:r>
      <w:r>
        <w:rPr>
          <w:rFonts w:ascii="宋体" w:cs="宋体" w:eastAsia="宋体" w:hAnsi="宋体"/>
          <w:sz w:val="32"/>
          <w:szCs w:val="32"/>
          <w:color w:val="auto"/>
        </w:rPr>
        <w:t>．应付利息</w:t>
      </w:r>
    </w:p>
    <w:p>
      <w:pPr>
        <w:spacing w:after="0" w:line="236" w:lineRule="exact"/>
        <w:rPr>
          <w:sz w:val="20"/>
          <w:szCs w:val="20"/>
          <w:color w:val="auto"/>
        </w:rPr>
      </w:pPr>
    </w:p>
    <w:p>
      <w:pPr>
        <w:ind w:left="1000"/>
        <w:spacing w:after="0" w:line="388" w:lineRule="exact"/>
        <w:rPr>
          <w:sz w:val="20"/>
          <w:szCs w:val="20"/>
          <w:color w:val="auto"/>
        </w:rPr>
      </w:pPr>
      <w:r>
        <w:rPr>
          <w:rFonts w:ascii="宋体" w:cs="宋体" w:eastAsia="宋体" w:hAnsi="宋体"/>
          <w:sz w:val="32"/>
          <w:szCs w:val="32"/>
          <w:color w:val="auto"/>
        </w:rPr>
        <w:t>（</w:t>
      </w:r>
      <w:r>
        <w:rPr>
          <w:rFonts w:ascii="Arial" w:cs="Arial" w:eastAsia="Arial" w:hAnsi="Arial"/>
          <w:sz w:val="32"/>
          <w:szCs w:val="32"/>
          <w:color w:val="auto"/>
        </w:rPr>
        <w:t>1</w:t>
      </w:r>
      <w:r>
        <w:rPr>
          <w:rFonts w:ascii="宋体" w:cs="宋体" w:eastAsia="宋体" w:hAnsi="宋体"/>
          <w:sz w:val="32"/>
          <w:szCs w:val="32"/>
          <w:color w:val="auto"/>
        </w:rPr>
        <w:t>）应付利息的内容、金额等。</w:t>
      </w:r>
    </w:p>
    <w:p>
      <w:pPr>
        <w:spacing w:after="0" w:line="236" w:lineRule="exact"/>
        <w:rPr>
          <w:sz w:val="20"/>
          <w:szCs w:val="20"/>
          <w:color w:val="auto"/>
        </w:rPr>
      </w:pPr>
    </w:p>
    <w:p>
      <w:pPr>
        <w:ind w:left="1000"/>
        <w:spacing w:after="0" w:line="388" w:lineRule="exact"/>
        <w:rPr>
          <w:sz w:val="20"/>
          <w:szCs w:val="20"/>
          <w:color w:val="auto"/>
        </w:rPr>
      </w:pPr>
      <w:r>
        <w:rPr>
          <w:rFonts w:ascii="宋体" w:cs="宋体" w:eastAsia="宋体" w:hAnsi="宋体"/>
          <w:sz w:val="32"/>
          <w:szCs w:val="32"/>
          <w:color w:val="auto"/>
        </w:rPr>
        <w:t>（</w:t>
      </w:r>
      <w:r>
        <w:rPr>
          <w:rFonts w:ascii="Arial" w:cs="Arial" w:eastAsia="Arial" w:hAnsi="Arial"/>
          <w:sz w:val="32"/>
          <w:szCs w:val="32"/>
          <w:color w:val="auto"/>
        </w:rPr>
        <w:t>2</w:t>
      </w:r>
      <w:r>
        <w:rPr>
          <w:rFonts w:ascii="宋体" w:cs="宋体" w:eastAsia="宋体" w:hAnsi="宋体"/>
          <w:sz w:val="32"/>
          <w:szCs w:val="32"/>
          <w:color w:val="auto"/>
        </w:rPr>
        <w:t>）应付利息核实的方法和结论。</w:t>
      </w:r>
    </w:p>
    <w:p>
      <w:pPr>
        <w:spacing w:after="0" w:line="236" w:lineRule="exact"/>
        <w:rPr>
          <w:sz w:val="20"/>
          <w:szCs w:val="20"/>
          <w:color w:val="auto"/>
        </w:rPr>
      </w:pPr>
    </w:p>
    <w:p>
      <w:pPr>
        <w:ind w:left="1000"/>
        <w:spacing w:after="0" w:line="388" w:lineRule="exact"/>
        <w:rPr>
          <w:sz w:val="20"/>
          <w:szCs w:val="20"/>
          <w:color w:val="auto"/>
        </w:rPr>
      </w:pPr>
      <w:r>
        <w:rPr>
          <w:rFonts w:ascii="宋体" w:cs="宋体" w:eastAsia="宋体" w:hAnsi="宋体"/>
          <w:sz w:val="32"/>
          <w:szCs w:val="32"/>
          <w:color w:val="auto"/>
        </w:rPr>
        <w:t>（</w:t>
      </w:r>
      <w:r>
        <w:rPr>
          <w:rFonts w:ascii="Arial" w:cs="Arial" w:eastAsia="Arial" w:hAnsi="Arial"/>
          <w:sz w:val="32"/>
          <w:szCs w:val="32"/>
          <w:color w:val="auto"/>
        </w:rPr>
        <w:t>3</w:t>
      </w:r>
      <w:r>
        <w:rPr>
          <w:rFonts w:ascii="宋体" w:cs="宋体" w:eastAsia="宋体" w:hAnsi="宋体"/>
          <w:sz w:val="32"/>
          <w:szCs w:val="32"/>
          <w:color w:val="auto"/>
        </w:rPr>
        <w:t>）应付利息评估值的确定方法和结论。</w:t>
      </w:r>
    </w:p>
    <w:p>
      <w:pPr>
        <w:spacing w:after="0" w:line="236" w:lineRule="exact"/>
        <w:rPr>
          <w:sz w:val="20"/>
          <w:szCs w:val="20"/>
          <w:color w:val="auto"/>
        </w:rPr>
      </w:pPr>
    </w:p>
    <w:p>
      <w:pPr>
        <w:ind w:left="1000"/>
        <w:spacing w:after="0" w:line="388" w:lineRule="exact"/>
        <w:rPr>
          <w:sz w:val="20"/>
          <w:szCs w:val="20"/>
          <w:color w:val="auto"/>
        </w:rPr>
      </w:pPr>
      <w:r>
        <w:rPr>
          <w:rFonts w:ascii="Arial" w:cs="Arial" w:eastAsia="Arial" w:hAnsi="Arial"/>
          <w:sz w:val="32"/>
          <w:szCs w:val="32"/>
          <w:color w:val="auto"/>
        </w:rPr>
        <w:t>28</w:t>
      </w:r>
      <w:r>
        <w:rPr>
          <w:rFonts w:ascii="宋体" w:cs="宋体" w:eastAsia="宋体" w:hAnsi="宋体"/>
          <w:sz w:val="32"/>
          <w:szCs w:val="32"/>
          <w:color w:val="auto"/>
        </w:rPr>
        <w:t>．预计负债</w:t>
      </w:r>
    </w:p>
    <w:p>
      <w:pPr>
        <w:spacing w:after="0" w:line="236" w:lineRule="exact"/>
        <w:rPr>
          <w:sz w:val="20"/>
          <w:szCs w:val="20"/>
          <w:color w:val="auto"/>
        </w:rPr>
      </w:pPr>
    </w:p>
    <w:p>
      <w:pPr>
        <w:ind w:left="1000"/>
        <w:spacing w:after="0" w:line="388" w:lineRule="exact"/>
        <w:rPr>
          <w:sz w:val="20"/>
          <w:szCs w:val="20"/>
          <w:color w:val="auto"/>
        </w:rPr>
      </w:pPr>
      <w:r>
        <w:rPr>
          <w:rFonts w:ascii="宋体" w:cs="宋体" w:eastAsia="宋体" w:hAnsi="宋体"/>
          <w:sz w:val="32"/>
          <w:szCs w:val="32"/>
          <w:color w:val="auto"/>
        </w:rPr>
        <w:t>（</w:t>
      </w:r>
      <w:r>
        <w:rPr>
          <w:rFonts w:ascii="Arial" w:cs="Arial" w:eastAsia="Arial" w:hAnsi="Arial"/>
          <w:sz w:val="32"/>
          <w:szCs w:val="32"/>
          <w:color w:val="auto"/>
        </w:rPr>
        <w:t>1</w:t>
      </w:r>
      <w:r>
        <w:rPr>
          <w:rFonts w:ascii="宋体" w:cs="宋体" w:eastAsia="宋体" w:hAnsi="宋体"/>
          <w:sz w:val="32"/>
          <w:szCs w:val="32"/>
          <w:color w:val="auto"/>
        </w:rPr>
        <w:t>）预计负债的金额和种类。</w:t>
      </w:r>
    </w:p>
    <w:p>
      <w:pPr>
        <w:spacing w:after="0" w:line="237" w:lineRule="exact"/>
        <w:rPr>
          <w:sz w:val="20"/>
          <w:szCs w:val="20"/>
          <w:color w:val="auto"/>
        </w:rPr>
      </w:pPr>
    </w:p>
    <w:p>
      <w:pPr>
        <w:ind w:left="1000"/>
        <w:spacing w:after="0" w:line="388" w:lineRule="exact"/>
        <w:rPr>
          <w:sz w:val="20"/>
          <w:szCs w:val="20"/>
          <w:color w:val="auto"/>
        </w:rPr>
      </w:pPr>
      <w:r>
        <w:rPr>
          <w:rFonts w:ascii="宋体" w:cs="宋体" w:eastAsia="宋体" w:hAnsi="宋体"/>
          <w:sz w:val="32"/>
          <w:szCs w:val="32"/>
          <w:color w:val="auto"/>
        </w:rPr>
        <w:t>（</w:t>
      </w:r>
      <w:r>
        <w:rPr>
          <w:rFonts w:ascii="Arial" w:cs="Arial" w:eastAsia="Arial" w:hAnsi="Arial"/>
          <w:sz w:val="32"/>
          <w:szCs w:val="32"/>
          <w:color w:val="auto"/>
        </w:rPr>
        <w:t>2</w:t>
      </w:r>
      <w:r>
        <w:rPr>
          <w:rFonts w:ascii="宋体" w:cs="宋体" w:eastAsia="宋体" w:hAnsi="宋体"/>
          <w:sz w:val="32"/>
          <w:szCs w:val="32"/>
          <w:color w:val="auto"/>
        </w:rPr>
        <w:t>）预计负债核实的方法和结论。</w:t>
      </w:r>
    </w:p>
    <w:p>
      <w:pPr>
        <w:spacing w:after="0" w:line="236" w:lineRule="exact"/>
        <w:rPr>
          <w:sz w:val="20"/>
          <w:szCs w:val="20"/>
          <w:color w:val="auto"/>
        </w:rPr>
      </w:pPr>
    </w:p>
    <w:p>
      <w:pPr>
        <w:ind w:left="1000"/>
        <w:spacing w:after="0" w:line="388" w:lineRule="exact"/>
        <w:rPr>
          <w:sz w:val="20"/>
          <w:szCs w:val="20"/>
          <w:color w:val="auto"/>
        </w:rPr>
      </w:pPr>
      <w:r>
        <w:rPr>
          <w:rFonts w:ascii="宋体" w:cs="宋体" w:eastAsia="宋体" w:hAnsi="宋体"/>
          <w:sz w:val="32"/>
          <w:szCs w:val="32"/>
          <w:color w:val="auto"/>
        </w:rPr>
        <w:t>（</w:t>
      </w:r>
      <w:r>
        <w:rPr>
          <w:rFonts w:ascii="Arial" w:cs="Arial" w:eastAsia="Arial" w:hAnsi="Arial"/>
          <w:sz w:val="32"/>
          <w:szCs w:val="32"/>
          <w:color w:val="auto"/>
        </w:rPr>
        <w:t>3</w:t>
      </w:r>
      <w:r>
        <w:rPr>
          <w:rFonts w:ascii="宋体" w:cs="宋体" w:eastAsia="宋体" w:hAnsi="宋体"/>
          <w:sz w:val="32"/>
          <w:szCs w:val="32"/>
          <w:color w:val="auto"/>
        </w:rPr>
        <w:t>）企业确认预计负债的证据以及第三方或者债权人</w:t>
      </w:r>
    </w:p>
    <w:p>
      <w:pPr>
        <w:spacing w:after="0" w:line="259"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的询证证据等。</w:t>
      </w:r>
    </w:p>
    <w:p>
      <w:pPr>
        <w:sectPr>
          <w:pgSz w:w="11900" w:h="16838" w:orient="portrait"/>
          <w:cols w:equalWidth="0" w:num="1">
            <w:col w:w="9026"/>
          </w:cols>
          <w:pgMar w:left="1440" w:top="1440" w:right="1440" w:bottom="1440" w:gutter="0" w:footer="0" w:header="0"/>
        </w:sectPr>
      </w:pPr>
    </w:p>
    <w:bookmarkStart w:id="42" w:name="page43"/>
    <w:bookmarkEnd w:id="42"/>
    <w:p>
      <w:pPr>
        <w:spacing w:after="0" w:line="81" w:lineRule="exact"/>
        <w:rPr>
          <w:sz w:val="20"/>
          <w:szCs w:val="20"/>
          <w:color w:val="auto"/>
        </w:rPr>
      </w:pPr>
    </w:p>
    <w:p>
      <w:pPr>
        <w:ind w:left="1000"/>
        <w:spacing w:after="0" w:line="388" w:lineRule="exact"/>
        <w:rPr>
          <w:sz w:val="20"/>
          <w:szCs w:val="20"/>
          <w:color w:val="auto"/>
        </w:rPr>
      </w:pPr>
      <w:r>
        <w:rPr>
          <w:rFonts w:ascii="宋体" w:cs="宋体" w:eastAsia="宋体" w:hAnsi="宋体"/>
          <w:sz w:val="32"/>
          <w:szCs w:val="32"/>
          <w:color w:val="auto"/>
        </w:rPr>
        <w:t>（</w:t>
      </w:r>
      <w:r>
        <w:rPr>
          <w:rFonts w:ascii="Arial" w:cs="Arial" w:eastAsia="Arial" w:hAnsi="Arial"/>
          <w:sz w:val="32"/>
          <w:szCs w:val="32"/>
          <w:color w:val="auto"/>
        </w:rPr>
        <w:t>4</w:t>
      </w:r>
      <w:r>
        <w:rPr>
          <w:rFonts w:ascii="宋体" w:cs="宋体" w:eastAsia="宋体" w:hAnsi="宋体"/>
          <w:sz w:val="32"/>
          <w:szCs w:val="32"/>
          <w:color w:val="auto"/>
        </w:rPr>
        <w:t>）预计负债评估值的确定方法和结论。</w:t>
      </w:r>
    </w:p>
    <w:p>
      <w:pPr>
        <w:spacing w:after="0" w:line="237" w:lineRule="exact"/>
        <w:rPr>
          <w:sz w:val="20"/>
          <w:szCs w:val="20"/>
          <w:color w:val="auto"/>
        </w:rPr>
      </w:pPr>
    </w:p>
    <w:p>
      <w:pPr>
        <w:ind w:left="1000"/>
        <w:spacing w:after="0" w:line="388" w:lineRule="exact"/>
        <w:rPr>
          <w:sz w:val="20"/>
          <w:szCs w:val="20"/>
          <w:color w:val="auto"/>
        </w:rPr>
      </w:pPr>
      <w:r>
        <w:rPr>
          <w:rFonts w:ascii="Arial" w:cs="Arial" w:eastAsia="Arial" w:hAnsi="Arial"/>
          <w:sz w:val="32"/>
          <w:szCs w:val="32"/>
          <w:color w:val="auto"/>
        </w:rPr>
        <w:t>29</w:t>
      </w:r>
      <w:r>
        <w:rPr>
          <w:rFonts w:ascii="宋体" w:cs="宋体" w:eastAsia="宋体" w:hAnsi="宋体"/>
          <w:sz w:val="32"/>
          <w:szCs w:val="32"/>
          <w:color w:val="auto"/>
        </w:rPr>
        <w:t>．应付债券</w:t>
      </w:r>
    </w:p>
    <w:p>
      <w:pPr>
        <w:spacing w:after="0" w:line="236" w:lineRule="exact"/>
        <w:rPr>
          <w:sz w:val="20"/>
          <w:szCs w:val="20"/>
          <w:color w:val="auto"/>
        </w:rPr>
      </w:pPr>
    </w:p>
    <w:p>
      <w:pPr>
        <w:ind w:left="1000"/>
        <w:spacing w:after="0" w:line="388" w:lineRule="exact"/>
        <w:rPr>
          <w:sz w:val="20"/>
          <w:szCs w:val="20"/>
          <w:color w:val="auto"/>
        </w:rPr>
      </w:pPr>
      <w:r>
        <w:rPr>
          <w:rFonts w:ascii="宋体" w:cs="宋体" w:eastAsia="宋体" w:hAnsi="宋体"/>
          <w:sz w:val="32"/>
          <w:szCs w:val="32"/>
          <w:color w:val="auto"/>
        </w:rPr>
        <w:t>（</w:t>
      </w:r>
      <w:r>
        <w:rPr>
          <w:rFonts w:ascii="Arial" w:cs="Arial" w:eastAsia="Arial" w:hAnsi="Arial"/>
          <w:sz w:val="32"/>
          <w:szCs w:val="32"/>
          <w:color w:val="auto"/>
        </w:rPr>
        <w:t>1</w:t>
      </w:r>
      <w:r>
        <w:rPr>
          <w:rFonts w:ascii="宋体" w:cs="宋体" w:eastAsia="宋体" w:hAnsi="宋体"/>
          <w:sz w:val="32"/>
          <w:szCs w:val="32"/>
          <w:color w:val="auto"/>
        </w:rPr>
        <w:t>）应付债券的种类（分期付息一次还本的债券、一</w:t>
      </w:r>
    </w:p>
    <w:p>
      <w:pPr>
        <w:spacing w:after="0" w:line="270" w:lineRule="exact"/>
        <w:rPr>
          <w:sz w:val="20"/>
          <w:szCs w:val="20"/>
          <w:color w:val="auto"/>
        </w:rPr>
      </w:pPr>
    </w:p>
    <w:p>
      <w:pPr>
        <w:jc w:val="center"/>
        <w:ind w:right="6"/>
        <w:spacing w:after="0" w:line="354" w:lineRule="exact"/>
        <w:rPr>
          <w:sz w:val="20"/>
          <w:szCs w:val="20"/>
          <w:color w:val="auto"/>
        </w:rPr>
      </w:pPr>
      <w:r>
        <w:rPr>
          <w:rFonts w:ascii="宋体" w:cs="宋体" w:eastAsia="宋体" w:hAnsi="宋体"/>
          <w:sz w:val="31"/>
          <w:szCs w:val="31"/>
          <w:color w:val="auto"/>
        </w:rPr>
        <w:t>次还本付息的债券等）、票面金额、债券票面利率、还本付</w:t>
      </w:r>
    </w:p>
    <w:p>
      <w:pPr>
        <w:spacing w:after="0" w:line="270" w:lineRule="exact"/>
        <w:rPr>
          <w:sz w:val="20"/>
          <w:szCs w:val="20"/>
          <w:color w:val="auto"/>
        </w:rPr>
      </w:pPr>
    </w:p>
    <w:p>
      <w:pPr>
        <w:ind w:left="360"/>
        <w:spacing w:after="0" w:line="354" w:lineRule="exact"/>
        <w:rPr>
          <w:sz w:val="20"/>
          <w:szCs w:val="20"/>
          <w:color w:val="auto"/>
        </w:rPr>
      </w:pPr>
      <w:r>
        <w:rPr>
          <w:rFonts w:ascii="宋体" w:cs="宋体" w:eastAsia="宋体" w:hAnsi="宋体"/>
          <w:sz w:val="31"/>
          <w:szCs w:val="31"/>
          <w:color w:val="auto"/>
        </w:rPr>
        <w:t>息期限与方式、发行总额、发行日期和编号、委托代售单位、</w:t>
      </w:r>
    </w:p>
    <w:p>
      <w:pPr>
        <w:spacing w:after="0" w:line="259"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转换股份等情况。</w:t>
      </w:r>
    </w:p>
    <w:p>
      <w:pPr>
        <w:spacing w:after="0" w:line="236" w:lineRule="exact"/>
        <w:rPr>
          <w:sz w:val="20"/>
          <w:szCs w:val="20"/>
          <w:color w:val="auto"/>
        </w:rPr>
      </w:pPr>
    </w:p>
    <w:p>
      <w:pPr>
        <w:ind w:left="1000"/>
        <w:spacing w:after="0" w:line="388" w:lineRule="exact"/>
        <w:rPr>
          <w:sz w:val="20"/>
          <w:szCs w:val="20"/>
          <w:color w:val="auto"/>
        </w:rPr>
      </w:pPr>
      <w:r>
        <w:rPr>
          <w:rFonts w:ascii="宋体" w:cs="宋体" w:eastAsia="宋体" w:hAnsi="宋体"/>
          <w:sz w:val="32"/>
          <w:szCs w:val="32"/>
          <w:color w:val="auto"/>
        </w:rPr>
        <w:t>（</w:t>
      </w:r>
      <w:r>
        <w:rPr>
          <w:rFonts w:ascii="Arial" w:cs="Arial" w:eastAsia="Arial" w:hAnsi="Arial"/>
          <w:sz w:val="32"/>
          <w:szCs w:val="32"/>
          <w:color w:val="auto"/>
        </w:rPr>
        <w:t>2</w:t>
      </w:r>
      <w:r>
        <w:rPr>
          <w:rFonts w:ascii="宋体" w:cs="宋体" w:eastAsia="宋体" w:hAnsi="宋体"/>
          <w:sz w:val="32"/>
          <w:szCs w:val="32"/>
          <w:color w:val="auto"/>
        </w:rPr>
        <w:t>）应付债券核实的方法和结论。</w:t>
      </w:r>
    </w:p>
    <w:p>
      <w:pPr>
        <w:spacing w:after="0" w:line="237" w:lineRule="exact"/>
        <w:rPr>
          <w:sz w:val="20"/>
          <w:szCs w:val="20"/>
          <w:color w:val="auto"/>
        </w:rPr>
      </w:pPr>
    </w:p>
    <w:p>
      <w:pPr>
        <w:ind w:left="1000"/>
        <w:spacing w:after="0" w:line="388" w:lineRule="exact"/>
        <w:rPr>
          <w:sz w:val="20"/>
          <w:szCs w:val="20"/>
          <w:color w:val="auto"/>
        </w:rPr>
      </w:pPr>
      <w:r>
        <w:rPr>
          <w:rFonts w:ascii="宋体" w:cs="宋体" w:eastAsia="宋体" w:hAnsi="宋体"/>
          <w:sz w:val="32"/>
          <w:szCs w:val="32"/>
          <w:color w:val="auto"/>
        </w:rPr>
        <w:t>（</w:t>
      </w:r>
      <w:r>
        <w:rPr>
          <w:rFonts w:ascii="Arial" w:cs="Arial" w:eastAsia="Arial" w:hAnsi="Arial"/>
          <w:sz w:val="32"/>
          <w:szCs w:val="32"/>
          <w:color w:val="auto"/>
        </w:rPr>
        <w:t>3</w:t>
      </w:r>
      <w:r>
        <w:rPr>
          <w:rFonts w:ascii="宋体" w:cs="宋体" w:eastAsia="宋体" w:hAnsi="宋体"/>
          <w:sz w:val="32"/>
          <w:szCs w:val="32"/>
          <w:color w:val="auto"/>
        </w:rPr>
        <w:t>）应付债券评估值的确定方法和结论。</w:t>
      </w:r>
    </w:p>
    <w:p>
      <w:pPr>
        <w:spacing w:after="0" w:line="236" w:lineRule="exact"/>
        <w:rPr>
          <w:sz w:val="20"/>
          <w:szCs w:val="20"/>
          <w:color w:val="auto"/>
        </w:rPr>
      </w:pPr>
    </w:p>
    <w:p>
      <w:pPr>
        <w:ind w:left="1000"/>
        <w:spacing w:after="0" w:line="388" w:lineRule="exact"/>
        <w:rPr>
          <w:sz w:val="20"/>
          <w:szCs w:val="20"/>
          <w:color w:val="auto"/>
        </w:rPr>
      </w:pPr>
      <w:r>
        <w:rPr>
          <w:rFonts w:ascii="Arial" w:cs="Arial" w:eastAsia="Arial" w:hAnsi="Arial"/>
          <w:sz w:val="32"/>
          <w:szCs w:val="32"/>
          <w:color w:val="auto"/>
        </w:rPr>
        <w:t>30</w:t>
      </w:r>
      <w:r>
        <w:rPr>
          <w:rFonts w:ascii="宋体" w:cs="宋体" w:eastAsia="宋体" w:hAnsi="宋体"/>
          <w:sz w:val="32"/>
          <w:szCs w:val="32"/>
          <w:color w:val="auto"/>
        </w:rPr>
        <w:t>．递延所得税负债</w:t>
      </w:r>
    </w:p>
    <w:p>
      <w:pPr>
        <w:spacing w:after="0" w:line="236" w:lineRule="exact"/>
        <w:rPr>
          <w:sz w:val="20"/>
          <w:szCs w:val="20"/>
          <w:color w:val="auto"/>
        </w:rPr>
      </w:pPr>
    </w:p>
    <w:p>
      <w:pPr>
        <w:ind w:left="1000"/>
        <w:spacing w:after="0" w:line="388" w:lineRule="exact"/>
        <w:rPr>
          <w:sz w:val="20"/>
          <w:szCs w:val="20"/>
          <w:color w:val="auto"/>
        </w:rPr>
      </w:pPr>
      <w:r>
        <w:rPr>
          <w:rFonts w:ascii="宋体" w:cs="宋体" w:eastAsia="宋体" w:hAnsi="宋体"/>
          <w:sz w:val="32"/>
          <w:szCs w:val="32"/>
          <w:color w:val="auto"/>
        </w:rPr>
        <w:t>（</w:t>
      </w:r>
      <w:r>
        <w:rPr>
          <w:rFonts w:ascii="Arial" w:cs="Arial" w:eastAsia="Arial" w:hAnsi="Arial"/>
          <w:sz w:val="32"/>
          <w:szCs w:val="32"/>
          <w:color w:val="auto"/>
        </w:rPr>
        <w:t>1</w:t>
      </w:r>
      <w:r>
        <w:rPr>
          <w:rFonts w:ascii="宋体" w:cs="宋体" w:eastAsia="宋体" w:hAnsi="宋体"/>
          <w:sz w:val="32"/>
          <w:szCs w:val="32"/>
          <w:color w:val="auto"/>
        </w:rPr>
        <w:t>）递延所得税负债的金额、种类和企业确认依据。</w:t>
      </w:r>
    </w:p>
    <w:p>
      <w:pPr>
        <w:spacing w:after="0" w:line="236" w:lineRule="exact"/>
        <w:rPr>
          <w:sz w:val="20"/>
          <w:szCs w:val="20"/>
          <w:color w:val="auto"/>
        </w:rPr>
      </w:pPr>
    </w:p>
    <w:p>
      <w:pPr>
        <w:ind w:left="1000"/>
        <w:spacing w:after="0" w:line="388" w:lineRule="exact"/>
        <w:rPr>
          <w:sz w:val="20"/>
          <w:szCs w:val="20"/>
          <w:color w:val="auto"/>
        </w:rPr>
      </w:pPr>
      <w:r>
        <w:rPr>
          <w:rFonts w:ascii="宋体" w:cs="宋体" w:eastAsia="宋体" w:hAnsi="宋体"/>
          <w:sz w:val="32"/>
          <w:szCs w:val="32"/>
          <w:color w:val="auto"/>
        </w:rPr>
        <w:t>（</w:t>
      </w:r>
      <w:r>
        <w:rPr>
          <w:rFonts w:ascii="Arial" w:cs="Arial" w:eastAsia="Arial" w:hAnsi="Arial"/>
          <w:sz w:val="32"/>
          <w:szCs w:val="32"/>
          <w:color w:val="auto"/>
        </w:rPr>
        <w:t>2</w:t>
      </w:r>
      <w:r>
        <w:rPr>
          <w:rFonts w:ascii="宋体" w:cs="宋体" w:eastAsia="宋体" w:hAnsi="宋体"/>
          <w:sz w:val="32"/>
          <w:szCs w:val="32"/>
          <w:color w:val="auto"/>
        </w:rPr>
        <w:t>）递延所得税负债核实的方法和结论。</w:t>
      </w:r>
    </w:p>
    <w:p>
      <w:pPr>
        <w:spacing w:after="0" w:line="236" w:lineRule="exact"/>
        <w:rPr>
          <w:sz w:val="20"/>
          <w:szCs w:val="20"/>
          <w:color w:val="auto"/>
        </w:rPr>
      </w:pPr>
    </w:p>
    <w:p>
      <w:pPr>
        <w:ind w:left="1000"/>
        <w:spacing w:after="0" w:line="388" w:lineRule="exact"/>
        <w:rPr>
          <w:sz w:val="20"/>
          <w:szCs w:val="20"/>
          <w:color w:val="auto"/>
        </w:rPr>
      </w:pPr>
      <w:r>
        <w:rPr>
          <w:rFonts w:ascii="宋体" w:cs="宋体" w:eastAsia="宋体" w:hAnsi="宋体"/>
          <w:sz w:val="32"/>
          <w:szCs w:val="32"/>
          <w:color w:val="auto"/>
        </w:rPr>
        <w:t>（</w:t>
      </w:r>
      <w:r>
        <w:rPr>
          <w:rFonts w:ascii="Arial" w:cs="Arial" w:eastAsia="Arial" w:hAnsi="Arial"/>
          <w:sz w:val="32"/>
          <w:szCs w:val="32"/>
          <w:color w:val="auto"/>
        </w:rPr>
        <w:t>3</w:t>
      </w:r>
      <w:r>
        <w:rPr>
          <w:rFonts w:ascii="宋体" w:cs="宋体" w:eastAsia="宋体" w:hAnsi="宋体"/>
          <w:sz w:val="32"/>
          <w:szCs w:val="32"/>
          <w:color w:val="auto"/>
        </w:rPr>
        <w:t>）递延所得税负债评估值的确定方法和结论。</w:t>
      </w:r>
    </w:p>
    <w:p>
      <w:pPr>
        <w:spacing w:after="0" w:line="236" w:lineRule="exact"/>
        <w:rPr>
          <w:sz w:val="20"/>
          <w:szCs w:val="20"/>
          <w:color w:val="auto"/>
        </w:rPr>
      </w:pPr>
    </w:p>
    <w:p>
      <w:pPr>
        <w:ind w:left="1000"/>
        <w:spacing w:after="0" w:line="388" w:lineRule="exact"/>
        <w:rPr>
          <w:sz w:val="20"/>
          <w:szCs w:val="20"/>
          <w:color w:val="auto"/>
        </w:rPr>
      </w:pPr>
      <w:r>
        <w:rPr>
          <w:rFonts w:ascii="Arial" w:cs="Arial" w:eastAsia="Arial" w:hAnsi="Arial"/>
          <w:sz w:val="32"/>
          <w:szCs w:val="32"/>
          <w:color w:val="auto"/>
        </w:rPr>
        <w:t>31</w:t>
      </w:r>
      <w:r>
        <w:rPr>
          <w:rFonts w:ascii="宋体" w:cs="宋体" w:eastAsia="宋体" w:hAnsi="宋体"/>
          <w:sz w:val="32"/>
          <w:szCs w:val="32"/>
          <w:color w:val="auto"/>
        </w:rPr>
        <w:t>．其他负债</w:t>
      </w:r>
    </w:p>
    <w:p>
      <w:pPr>
        <w:spacing w:after="0" w:line="237" w:lineRule="exact"/>
        <w:rPr>
          <w:sz w:val="20"/>
          <w:szCs w:val="20"/>
          <w:color w:val="auto"/>
        </w:rPr>
      </w:pPr>
    </w:p>
    <w:p>
      <w:pPr>
        <w:ind w:left="1000"/>
        <w:spacing w:after="0" w:line="388" w:lineRule="exact"/>
        <w:rPr>
          <w:sz w:val="20"/>
          <w:szCs w:val="20"/>
          <w:color w:val="auto"/>
        </w:rPr>
      </w:pPr>
      <w:r>
        <w:rPr>
          <w:rFonts w:ascii="宋体" w:cs="宋体" w:eastAsia="宋体" w:hAnsi="宋体"/>
          <w:sz w:val="32"/>
          <w:szCs w:val="32"/>
          <w:color w:val="auto"/>
        </w:rPr>
        <w:t>（</w:t>
      </w:r>
      <w:r>
        <w:rPr>
          <w:rFonts w:ascii="Arial" w:cs="Arial" w:eastAsia="Arial" w:hAnsi="Arial"/>
          <w:sz w:val="32"/>
          <w:szCs w:val="32"/>
          <w:color w:val="auto"/>
        </w:rPr>
        <w:t>1</w:t>
      </w:r>
      <w:r>
        <w:rPr>
          <w:rFonts w:ascii="宋体" w:cs="宋体" w:eastAsia="宋体" w:hAnsi="宋体"/>
          <w:sz w:val="32"/>
          <w:szCs w:val="32"/>
          <w:color w:val="auto"/>
        </w:rPr>
        <w:t>）其他应付款</w:t>
      </w:r>
    </w:p>
    <w:p>
      <w:pPr>
        <w:spacing w:after="0" w:line="236" w:lineRule="exact"/>
        <w:rPr>
          <w:sz w:val="20"/>
          <w:szCs w:val="20"/>
          <w:color w:val="auto"/>
        </w:rPr>
      </w:pPr>
    </w:p>
    <w:p>
      <w:pPr>
        <w:ind w:left="1000"/>
        <w:spacing w:after="0" w:line="388" w:lineRule="exact"/>
        <w:rPr>
          <w:sz w:val="20"/>
          <w:szCs w:val="20"/>
          <w:color w:val="auto"/>
        </w:rPr>
      </w:pPr>
      <w:r>
        <w:rPr>
          <w:rFonts w:ascii="Arial" w:cs="Arial" w:eastAsia="Arial" w:hAnsi="Arial"/>
          <w:sz w:val="32"/>
          <w:szCs w:val="32"/>
          <w:color w:val="auto"/>
        </w:rPr>
        <w:t>1)</w:t>
      </w:r>
      <w:r>
        <w:rPr>
          <w:rFonts w:ascii="宋体" w:cs="宋体" w:eastAsia="宋体" w:hAnsi="宋体"/>
          <w:sz w:val="32"/>
          <w:szCs w:val="32"/>
          <w:color w:val="auto"/>
        </w:rPr>
        <w:t>其他应付款发生时间、原因，相关合同、协议内容。</w:t>
      </w:r>
    </w:p>
    <w:p>
      <w:pPr>
        <w:spacing w:after="0" w:line="236" w:lineRule="exact"/>
        <w:rPr>
          <w:sz w:val="20"/>
          <w:szCs w:val="20"/>
          <w:color w:val="auto"/>
        </w:rPr>
      </w:pPr>
    </w:p>
    <w:p>
      <w:pPr>
        <w:ind w:left="1000"/>
        <w:spacing w:after="0" w:line="388" w:lineRule="exact"/>
        <w:rPr>
          <w:sz w:val="20"/>
          <w:szCs w:val="20"/>
          <w:color w:val="auto"/>
        </w:rPr>
      </w:pPr>
      <w:r>
        <w:rPr>
          <w:rFonts w:ascii="Arial" w:cs="Arial" w:eastAsia="Arial" w:hAnsi="Arial"/>
          <w:sz w:val="32"/>
          <w:szCs w:val="32"/>
          <w:color w:val="auto"/>
        </w:rPr>
        <w:t>2)</w:t>
      </w:r>
      <w:r>
        <w:rPr>
          <w:rFonts w:ascii="宋体" w:cs="宋体" w:eastAsia="宋体" w:hAnsi="宋体"/>
          <w:sz w:val="32"/>
          <w:szCs w:val="32"/>
          <w:color w:val="auto"/>
        </w:rPr>
        <w:t>其他应付款核实的方法和结论。</w:t>
      </w:r>
    </w:p>
    <w:p>
      <w:pPr>
        <w:spacing w:after="0" w:line="236" w:lineRule="exact"/>
        <w:rPr>
          <w:sz w:val="20"/>
          <w:szCs w:val="20"/>
          <w:color w:val="auto"/>
        </w:rPr>
      </w:pPr>
    </w:p>
    <w:p>
      <w:pPr>
        <w:ind w:left="1000"/>
        <w:spacing w:after="0" w:line="388" w:lineRule="exact"/>
        <w:rPr>
          <w:sz w:val="20"/>
          <w:szCs w:val="20"/>
          <w:color w:val="auto"/>
        </w:rPr>
      </w:pPr>
      <w:r>
        <w:rPr>
          <w:rFonts w:ascii="Arial" w:cs="Arial" w:eastAsia="Arial" w:hAnsi="Arial"/>
          <w:sz w:val="32"/>
          <w:szCs w:val="32"/>
          <w:color w:val="auto"/>
        </w:rPr>
        <w:t>3)</w:t>
      </w:r>
      <w:r>
        <w:rPr>
          <w:rFonts w:ascii="宋体" w:cs="宋体" w:eastAsia="宋体" w:hAnsi="宋体"/>
          <w:sz w:val="32"/>
          <w:szCs w:val="32"/>
          <w:color w:val="auto"/>
        </w:rPr>
        <w:t>其他应付款评估值的确定方法和结论。</w:t>
      </w:r>
    </w:p>
    <w:p>
      <w:pPr>
        <w:spacing w:after="0" w:line="236" w:lineRule="exact"/>
        <w:rPr>
          <w:sz w:val="20"/>
          <w:szCs w:val="20"/>
          <w:color w:val="auto"/>
        </w:rPr>
      </w:pPr>
    </w:p>
    <w:p>
      <w:pPr>
        <w:ind w:left="1000"/>
        <w:spacing w:after="0" w:line="388" w:lineRule="exact"/>
        <w:rPr>
          <w:sz w:val="20"/>
          <w:szCs w:val="20"/>
          <w:color w:val="auto"/>
        </w:rPr>
      </w:pPr>
      <w:r>
        <w:rPr>
          <w:rFonts w:ascii="宋体" w:cs="宋体" w:eastAsia="宋体" w:hAnsi="宋体"/>
          <w:sz w:val="32"/>
          <w:szCs w:val="32"/>
          <w:color w:val="auto"/>
        </w:rPr>
        <w:t>（</w:t>
      </w:r>
      <w:r>
        <w:rPr>
          <w:rFonts w:ascii="Arial" w:cs="Arial" w:eastAsia="Arial" w:hAnsi="Arial"/>
          <w:sz w:val="32"/>
          <w:szCs w:val="32"/>
          <w:color w:val="auto"/>
        </w:rPr>
        <w:t>2</w:t>
      </w:r>
      <w:r>
        <w:rPr>
          <w:rFonts w:ascii="宋体" w:cs="宋体" w:eastAsia="宋体" w:hAnsi="宋体"/>
          <w:sz w:val="32"/>
          <w:szCs w:val="32"/>
          <w:color w:val="auto"/>
        </w:rPr>
        <w:t>）存入保证金</w:t>
      </w:r>
    </w:p>
    <w:p>
      <w:pPr>
        <w:spacing w:after="0" w:line="236" w:lineRule="exact"/>
        <w:rPr>
          <w:sz w:val="20"/>
          <w:szCs w:val="20"/>
          <w:color w:val="auto"/>
        </w:rPr>
      </w:pPr>
    </w:p>
    <w:p>
      <w:pPr>
        <w:ind w:left="1000"/>
        <w:spacing w:after="0" w:line="388" w:lineRule="exact"/>
        <w:rPr>
          <w:sz w:val="20"/>
          <w:szCs w:val="20"/>
          <w:color w:val="auto"/>
        </w:rPr>
      </w:pPr>
      <w:r>
        <w:rPr>
          <w:rFonts w:ascii="Arial" w:cs="Arial" w:eastAsia="Arial" w:hAnsi="Arial"/>
          <w:sz w:val="32"/>
          <w:szCs w:val="32"/>
          <w:color w:val="auto"/>
        </w:rPr>
        <w:t>1)</w:t>
      </w:r>
      <w:r>
        <w:rPr>
          <w:rFonts w:ascii="宋体" w:cs="宋体" w:eastAsia="宋体" w:hAnsi="宋体"/>
          <w:sz w:val="32"/>
          <w:szCs w:val="32"/>
          <w:color w:val="auto"/>
        </w:rPr>
        <w:t>存入保证金的种类、金额、核算方式、存款期限。</w:t>
      </w:r>
    </w:p>
    <w:p>
      <w:pPr>
        <w:spacing w:after="0" w:line="237" w:lineRule="exact"/>
        <w:rPr>
          <w:sz w:val="20"/>
          <w:szCs w:val="20"/>
          <w:color w:val="auto"/>
        </w:rPr>
      </w:pPr>
    </w:p>
    <w:p>
      <w:pPr>
        <w:ind w:left="1000"/>
        <w:spacing w:after="0" w:line="388" w:lineRule="exact"/>
        <w:rPr>
          <w:sz w:val="20"/>
          <w:szCs w:val="20"/>
          <w:color w:val="auto"/>
        </w:rPr>
      </w:pPr>
      <w:r>
        <w:rPr>
          <w:rFonts w:ascii="Arial" w:cs="Arial" w:eastAsia="Arial" w:hAnsi="Arial"/>
          <w:sz w:val="32"/>
          <w:szCs w:val="32"/>
          <w:color w:val="auto"/>
        </w:rPr>
        <w:t>2)</w:t>
      </w:r>
      <w:r>
        <w:rPr>
          <w:rFonts w:ascii="宋体" w:cs="宋体" w:eastAsia="宋体" w:hAnsi="宋体"/>
          <w:sz w:val="32"/>
          <w:szCs w:val="32"/>
          <w:color w:val="auto"/>
        </w:rPr>
        <w:t>存入保证金核实的方法和结论。</w:t>
      </w:r>
    </w:p>
    <w:p>
      <w:pPr>
        <w:spacing w:after="0" w:line="236" w:lineRule="exact"/>
        <w:rPr>
          <w:sz w:val="20"/>
          <w:szCs w:val="20"/>
          <w:color w:val="auto"/>
        </w:rPr>
      </w:pPr>
    </w:p>
    <w:p>
      <w:pPr>
        <w:ind w:left="1000"/>
        <w:spacing w:after="0" w:line="388" w:lineRule="exact"/>
        <w:rPr>
          <w:sz w:val="20"/>
          <w:szCs w:val="20"/>
          <w:color w:val="auto"/>
        </w:rPr>
      </w:pPr>
      <w:r>
        <w:rPr>
          <w:rFonts w:ascii="Arial" w:cs="Arial" w:eastAsia="Arial" w:hAnsi="Arial"/>
          <w:sz w:val="32"/>
          <w:szCs w:val="32"/>
          <w:color w:val="auto"/>
        </w:rPr>
        <w:t>3)</w:t>
      </w:r>
      <w:r>
        <w:rPr>
          <w:rFonts w:ascii="宋体" w:cs="宋体" w:eastAsia="宋体" w:hAnsi="宋体"/>
          <w:sz w:val="32"/>
          <w:szCs w:val="32"/>
          <w:color w:val="auto"/>
        </w:rPr>
        <w:t>存入保证金评估值的确定方法和结论。</w:t>
      </w:r>
    </w:p>
    <w:p>
      <w:pPr>
        <w:spacing w:after="0" w:line="236" w:lineRule="exact"/>
        <w:rPr>
          <w:sz w:val="20"/>
          <w:szCs w:val="20"/>
          <w:color w:val="auto"/>
        </w:rPr>
      </w:pPr>
    </w:p>
    <w:p>
      <w:pPr>
        <w:ind w:left="1000"/>
        <w:spacing w:after="0" w:line="388" w:lineRule="exact"/>
        <w:rPr>
          <w:sz w:val="20"/>
          <w:szCs w:val="20"/>
          <w:color w:val="auto"/>
        </w:rPr>
      </w:pPr>
      <w:r>
        <w:rPr>
          <w:rFonts w:ascii="宋体" w:cs="宋体" w:eastAsia="宋体" w:hAnsi="宋体"/>
          <w:sz w:val="32"/>
          <w:szCs w:val="32"/>
          <w:color w:val="auto"/>
        </w:rPr>
        <w:t>（</w:t>
      </w:r>
      <w:r>
        <w:rPr>
          <w:rFonts w:ascii="Arial" w:cs="Arial" w:eastAsia="Arial" w:hAnsi="Arial"/>
          <w:sz w:val="32"/>
          <w:szCs w:val="32"/>
          <w:color w:val="auto"/>
        </w:rPr>
        <w:t>3</w:t>
      </w:r>
      <w:r>
        <w:rPr>
          <w:rFonts w:ascii="宋体" w:cs="宋体" w:eastAsia="宋体" w:hAnsi="宋体"/>
          <w:sz w:val="32"/>
          <w:szCs w:val="32"/>
          <w:color w:val="auto"/>
        </w:rPr>
        <w:t>）贴现负债</w:t>
      </w:r>
    </w:p>
    <w:p>
      <w:pPr>
        <w:sectPr>
          <w:pgSz w:w="11900" w:h="16838" w:orient="portrait"/>
          <w:cols w:equalWidth="0" w:num="1">
            <w:col w:w="9026"/>
          </w:cols>
          <w:pgMar w:left="1440" w:top="1440" w:right="1440" w:bottom="1440" w:gutter="0" w:footer="0" w:header="0"/>
        </w:sectPr>
      </w:pPr>
    </w:p>
    <w:bookmarkStart w:id="43" w:name="page44"/>
    <w:bookmarkEnd w:id="43"/>
    <w:p>
      <w:pPr>
        <w:spacing w:after="0" w:line="81" w:lineRule="exact"/>
        <w:rPr>
          <w:sz w:val="20"/>
          <w:szCs w:val="20"/>
          <w:color w:val="auto"/>
        </w:rPr>
      </w:pPr>
    </w:p>
    <w:p>
      <w:pPr>
        <w:ind w:left="1000"/>
        <w:spacing w:after="0" w:line="388" w:lineRule="exact"/>
        <w:rPr>
          <w:sz w:val="20"/>
          <w:szCs w:val="20"/>
          <w:color w:val="auto"/>
        </w:rPr>
      </w:pPr>
      <w:r>
        <w:rPr>
          <w:rFonts w:ascii="Arial" w:cs="Arial" w:eastAsia="Arial" w:hAnsi="Arial"/>
          <w:sz w:val="32"/>
          <w:szCs w:val="32"/>
          <w:color w:val="auto"/>
        </w:rPr>
        <w:t>1)</w:t>
      </w:r>
      <w:r>
        <w:rPr>
          <w:rFonts w:ascii="宋体" w:cs="宋体" w:eastAsia="宋体" w:hAnsi="宋体"/>
          <w:sz w:val="32"/>
          <w:szCs w:val="32"/>
          <w:color w:val="auto"/>
        </w:rPr>
        <w:t>贴现票据的种类、金额，贴现的时间、金额，票据到</w:t>
      </w:r>
    </w:p>
    <w:p>
      <w:pPr>
        <w:spacing w:after="0" w:line="259"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期时间。</w:t>
      </w:r>
    </w:p>
    <w:p>
      <w:pPr>
        <w:spacing w:after="0" w:line="236" w:lineRule="exact"/>
        <w:rPr>
          <w:sz w:val="20"/>
          <w:szCs w:val="20"/>
          <w:color w:val="auto"/>
        </w:rPr>
      </w:pPr>
    </w:p>
    <w:p>
      <w:pPr>
        <w:ind w:left="1000"/>
        <w:spacing w:after="0" w:line="388" w:lineRule="exact"/>
        <w:rPr>
          <w:sz w:val="20"/>
          <w:szCs w:val="20"/>
          <w:color w:val="auto"/>
        </w:rPr>
      </w:pPr>
      <w:r>
        <w:rPr>
          <w:rFonts w:ascii="Arial" w:cs="Arial" w:eastAsia="Arial" w:hAnsi="Arial"/>
          <w:sz w:val="32"/>
          <w:szCs w:val="32"/>
          <w:color w:val="auto"/>
        </w:rPr>
        <w:t>2)</w:t>
      </w:r>
      <w:r>
        <w:rPr>
          <w:rFonts w:ascii="宋体" w:cs="宋体" w:eastAsia="宋体" w:hAnsi="宋体"/>
          <w:sz w:val="32"/>
          <w:szCs w:val="32"/>
          <w:color w:val="auto"/>
        </w:rPr>
        <w:t>贴现负债核实的方法和结论。</w:t>
      </w:r>
    </w:p>
    <w:p>
      <w:pPr>
        <w:spacing w:after="0" w:line="236" w:lineRule="exact"/>
        <w:rPr>
          <w:sz w:val="20"/>
          <w:szCs w:val="20"/>
          <w:color w:val="auto"/>
        </w:rPr>
      </w:pPr>
    </w:p>
    <w:p>
      <w:pPr>
        <w:ind w:left="1000"/>
        <w:spacing w:after="0" w:line="388" w:lineRule="exact"/>
        <w:rPr>
          <w:sz w:val="20"/>
          <w:szCs w:val="20"/>
          <w:color w:val="auto"/>
        </w:rPr>
      </w:pPr>
      <w:r>
        <w:rPr>
          <w:rFonts w:ascii="Arial" w:cs="Arial" w:eastAsia="Arial" w:hAnsi="Arial"/>
          <w:sz w:val="32"/>
          <w:szCs w:val="32"/>
          <w:color w:val="auto"/>
        </w:rPr>
        <w:t>3)</w:t>
      </w:r>
      <w:r>
        <w:rPr>
          <w:rFonts w:ascii="宋体" w:cs="宋体" w:eastAsia="宋体" w:hAnsi="宋体"/>
          <w:sz w:val="32"/>
          <w:szCs w:val="32"/>
          <w:color w:val="auto"/>
        </w:rPr>
        <w:t>贴现负债评估值的确定方法和结论。</w:t>
      </w:r>
    </w:p>
    <w:p>
      <w:pPr>
        <w:spacing w:after="0" w:line="236" w:lineRule="exact"/>
        <w:rPr>
          <w:sz w:val="20"/>
          <w:szCs w:val="20"/>
          <w:color w:val="auto"/>
        </w:rPr>
      </w:pPr>
    </w:p>
    <w:p>
      <w:pPr>
        <w:ind w:left="1000"/>
        <w:spacing w:after="0" w:line="388" w:lineRule="exact"/>
        <w:rPr>
          <w:sz w:val="20"/>
          <w:szCs w:val="20"/>
          <w:color w:val="auto"/>
        </w:rPr>
      </w:pPr>
      <w:r>
        <w:rPr>
          <w:rFonts w:ascii="宋体" w:cs="宋体" w:eastAsia="宋体" w:hAnsi="宋体"/>
          <w:sz w:val="32"/>
          <w:szCs w:val="32"/>
          <w:color w:val="auto"/>
        </w:rPr>
        <w:t>（</w:t>
      </w:r>
      <w:r>
        <w:rPr>
          <w:rFonts w:ascii="Arial" w:cs="Arial" w:eastAsia="Arial" w:hAnsi="Arial"/>
          <w:sz w:val="32"/>
          <w:szCs w:val="32"/>
          <w:color w:val="auto"/>
        </w:rPr>
        <w:t>4</w:t>
      </w:r>
      <w:r>
        <w:rPr>
          <w:rFonts w:ascii="宋体" w:cs="宋体" w:eastAsia="宋体" w:hAnsi="宋体"/>
          <w:sz w:val="32"/>
          <w:szCs w:val="32"/>
          <w:color w:val="auto"/>
        </w:rPr>
        <w:t>）上述负债以外的其他负债</w:t>
      </w:r>
    </w:p>
    <w:p>
      <w:pPr>
        <w:spacing w:after="0" w:line="236" w:lineRule="exact"/>
        <w:rPr>
          <w:sz w:val="20"/>
          <w:szCs w:val="20"/>
          <w:color w:val="auto"/>
        </w:rPr>
      </w:pPr>
    </w:p>
    <w:p>
      <w:pPr>
        <w:ind w:left="1000"/>
        <w:spacing w:after="0" w:line="388" w:lineRule="exact"/>
        <w:rPr>
          <w:sz w:val="20"/>
          <w:szCs w:val="20"/>
          <w:color w:val="auto"/>
        </w:rPr>
      </w:pPr>
      <w:r>
        <w:rPr>
          <w:rFonts w:ascii="Arial" w:cs="Arial" w:eastAsia="Arial" w:hAnsi="Arial"/>
          <w:sz w:val="32"/>
          <w:szCs w:val="32"/>
          <w:color w:val="auto"/>
        </w:rPr>
        <w:t>1)</w:t>
      </w:r>
      <w:r>
        <w:rPr>
          <w:rFonts w:ascii="宋体" w:cs="宋体" w:eastAsia="宋体" w:hAnsi="宋体"/>
          <w:sz w:val="32"/>
          <w:szCs w:val="32"/>
          <w:color w:val="auto"/>
        </w:rPr>
        <w:t>其他负债的种类、形成原因、企业确认依据等。</w:t>
      </w:r>
    </w:p>
    <w:p>
      <w:pPr>
        <w:spacing w:after="0" w:line="236" w:lineRule="exact"/>
        <w:rPr>
          <w:sz w:val="20"/>
          <w:szCs w:val="20"/>
          <w:color w:val="auto"/>
        </w:rPr>
      </w:pPr>
    </w:p>
    <w:p>
      <w:pPr>
        <w:ind w:left="1000"/>
        <w:spacing w:after="0" w:line="388" w:lineRule="exact"/>
        <w:rPr>
          <w:sz w:val="20"/>
          <w:szCs w:val="20"/>
          <w:color w:val="auto"/>
        </w:rPr>
      </w:pPr>
      <w:r>
        <w:rPr>
          <w:rFonts w:ascii="Arial" w:cs="Arial" w:eastAsia="Arial" w:hAnsi="Arial"/>
          <w:sz w:val="32"/>
          <w:szCs w:val="32"/>
          <w:color w:val="auto"/>
        </w:rPr>
        <w:t>2)</w:t>
      </w:r>
      <w:r>
        <w:rPr>
          <w:rFonts w:ascii="宋体" w:cs="宋体" w:eastAsia="宋体" w:hAnsi="宋体"/>
          <w:sz w:val="32"/>
          <w:szCs w:val="32"/>
          <w:color w:val="auto"/>
        </w:rPr>
        <w:t>其他负债核实的方法和结论。</w:t>
      </w:r>
    </w:p>
    <w:p>
      <w:pPr>
        <w:spacing w:after="0" w:line="237" w:lineRule="exact"/>
        <w:rPr>
          <w:sz w:val="20"/>
          <w:szCs w:val="20"/>
          <w:color w:val="auto"/>
        </w:rPr>
      </w:pPr>
    </w:p>
    <w:p>
      <w:pPr>
        <w:ind w:left="1000"/>
        <w:spacing w:after="0" w:line="388" w:lineRule="exact"/>
        <w:rPr>
          <w:sz w:val="20"/>
          <w:szCs w:val="20"/>
          <w:color w:val="auto"/>
        </w:rPr>
      </w:pPr>
      <w:r>
        <w:rPr>
          <w:rFonts w:ascii="Arial" w:cs="Arial" w:eastAsia="Arial" w:hAnsi="Arial"/>
          <w:sz w:val="32"/>
          <w:szCs w:val="32"/>
          <w:color w:val="auto"/>
        </w:rPr>
        <w:t>3)</w:t>
      </w:r>
      <w:r>
        <w:rPr>
          <w:rFonts w:ascii="宋体" w:cs="宋体" w:eastAsia="宋体" w:hAnsi="宋体"/>
          <w:sz w:val="32"/>
          <w:szCs w:val="32"/>
          <w:color w:val="auto"/>
        </w:rPr>
        <w:t>其他负债评估值的确定方法和结论。</w:t>
      </w:r>
    </w:p>
    <w:p>
      <w:pPr>
        <w:spacing w:after="0" w:line="270" w:lineRule="exact"/>
        <w:rPr>
          <w:sz w:val="20"/>
          <w:szCs w:val="20"/>
          <w:color w:val="auto"/>
        </w:rPr>
      </w:pPr>
    </w:p>
    <w:p>
      <w:pPr>
        <w:ind w:left="1000"/>
        <w:spacing w:after="0" w:line="354" w:lineRule="exact"/>
        <w:rPr>
          <w:sz w:val="20"/>
          <w:szCs w:val="20"/>
          <w:color w:val="auto"/>
        </w:rPr>
      </w:pPr>
      <w:r>
        <w:rPr>
          <w:rFonts w:ascii="宋体" w:cs="宋体" w:eastAsia="宋体" w:hAnsi="宋体"/>
          <w:sz w:val="31"/>
          <w:szCs w:val="31"/>
          <w:color w:val="auto"/>
        </w:rPr>
        <w:t>（二）保险公司资产基础法评估技术说明编写内容指引</w:t>
      </w:r>
    </w:p>
    <w:p>
      <w:pPr>
        <w:spacing w:after="0" w:line="270" w:lineRule="exact"/>
        <w:rPr>
          <w:sz w:val="20"/>
          <w:szCs w:val="20"/>
          <w:color w:val="auto"/>
        </w:rPr>
      </w:pPr>
    </w:p>
    <w:p>
      <w:pPr>
        <w:ind w:left="1000"/>
        <w:spacing w:after="0" w:line="354" w:lineRule="exact"/>
        <w:rPr>
          <w:sz w:val="20"/>
          <w:szCs w:val="20"/>
          <w:color w:val="auto"/>
        </w:rPr>
      </w:pPr>
      <w:r>
        <w:rPr>
          <w:rFonts w:ascii="宋体" w:cs="宋体" w:eastAsia="宋体" w:hAnsi="宋体"/>
          <w:sz w:val="31"/>
          <w:szCs w:val="31"/>
          <w:color w:val="auto"/>
        </w:rPr>
        <w:t>保险公司部分科目的评估方法与银行相同，保险公司专</w:t>
      </w:r>
    </w:p>
    <w:p>
      <w:pPr>
        <w:spacing w:after="0" w:line="259"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用科目的评估技术说明编写内容指引如下。</w:t>
      </w:r>
    </w:p>
    <w:p>
      <w:pPr>
        <w:spacing w:after="0" w:line="236" w:lineRule="exact"/>
        <w:rPr>
          <w:sz w:val="20"/>
          <w:szCs w:val="20"/>
          <w:color w:val="auto"/>
        </w:rPr>
      </w:pPr>
    </w:p>
    <w:p>
      <w:pPr>
        <w:ind w:left="1000"/>
        <w:spacing w:after="0" w:line="388" w:lineRule="exact"/>
        <w:rPr>
          <w:sz w:val="20"/>
          <w:szCs w:val="20"/>
          <w:color w:val="auto"/>
        </w:rPr>
      </w:pPr>
      <w:r>
        <w:rPr>
          <w:rFonts w:ascii="Arial" w:cs="Arial" w:eastAsia="Arial" w:hAnsi="Arial"/>
          <w:sz w:val="32"/>
          <w:szCs w:val="32"/>
          <w:color w:val="auto"/>
        </w:rPr>
        <w:t>1</w:t>
      </w:r>
      <w:r>
        <w:rPr>
          <w:rFonts w:ascii="宋体" w:cs="宋体" w:eastAsia="宋体" w:hAnsi="宋体"/>
          <w:sz w:val="32"/>
          <w:szCs w:val="32"/>
          <w:color w:val="auto"/>
        </w:rPr>
        <w:t>．应收保费</w:t>
      </w:r>
    </w:p>
    <w:p>
      <w:pPr>
        <w:spacing w:after="0" w:line="236" w:lineRule="exact"/>
        <w:rPr>
          <w:sz w:val="20"/>
          <w:szCs w:val="20"/>
          <w:color w:val="auto"/>
        </w:rPr>
      </w:pPr>
    </w:p>
    <w:p>
      <w:pPr>
        <w:ind w:left="1000"/>
        <w:spacing w:after="0" w:line="388" w:lineRule="exact"/>
        <w:rPr>
          <w:sz w:val="20"/>
          <w:szCs w:val="20"/>
          <w:color w:val="auto"/>
        </w:rPr>
      </w:pPr>
      <w:r>
        <w:rPr>
          <w:rFonts w:ascii="宋体" w:cs="宋体" w:eastAsia="宋体" w:hAnsi="宋体"/>
          <w:sz w:val="32"/>
          <w:szCs w:val="32"/>
          <w:color w:val="auto"/>
        </w:rPr>
        <w:t>（</w:t>
      </w:r>
      <w:r>
        <w:rPr>
          <w:rFonts w:ascii="Arial" w:cs="Arial" w:eastAsia="Arial" w:hAnsi="Arial"/>
          <w:sz w:val="32"/>
          <w:szCs w:val="32"/>
          <w:color w:val="auto"/>
        </w:rPr>
        <w:t>1</w:t>
      </w:r>
      <w:r>
        <w:rPr>
          <w:rFonts w:ascii="宋体" w:cs="宋体" w:eastAsia="宋体" w:hAnsi="宋体"/>
          <w:sz w:val="32"/>
          <w:szCs w:val="32"/>
          <w:color w:val="auto"/>
        </w:rPr>
        <w:t>）应收保费的金额、种类。</w:t>
      </w:r>
    </w:p>
    <w:p>
      <w:pPr>
        <w:spacing w:after="0" w:line="237" w:lineRule="exact"/>
        <w:rPr>
          <w:sz w:val="20"/>
          <w:szCs w:val="20"/>
          <w:color w:val="auto"/>
        </w:rPr>
      </w:pPr>
    </w:p>
    <w:p>
      <w:pPr>
        <w:ind w:left="1000"/>
        <w:spacing w:after="0" w:line="388" w:lineRule="exact"/>
        <w:rPr>
          <w:sz w:val="20"/>
          <w:szCs w:val="20"/>
          <w:color w:val="auto"/>
        </w:rPr>
      </w:pPr>
      <w:r>
        <w:rPr>
          <w:rFonts w:ascii="宋体" w:cs="宋体" w:eastAsia="宋体" w:hAnsi="宋体"/>
          <w:sz w:val="32"/>
          <w:szCs w:val="32"/>
          <w:color w:val="auto"/>
        </w:rPr>
        <w:t>（</w:t>
      </w:r>
      <w:r>
        <w:rPr>
          <w:rFonts w:ascii="Arial" w:cs="Arial" w:eastAsia="Arial" w:hAnsi="Arial"/>
          <w:sz w:val="32"/>
          <w:szCs w:val="32"/>
          <w:color w:val="auto"/>
        </w:rPr>
        <w:t>2</w:t>
      </w:r>
      <w:r>
        <w:rPr>
          <w:rFonts w:ascii="宋体" w:cs="宋体" w:eastAsia="宋体" w:hAnsi="宋体"/>
          <w:sz w:val="32"/>
          <w:szCs w:val="32"/>
          <w:color w:val="auto"/>
        </w:rPr>
        <w:t>）应收保费核实的方法和结论。</w:t>
      </w:r>
    </w:p>
    <w:p>
      <w:pPr>
        <w:spacing w:after="0" w:line="236" w:lineRule="exact"/>
        <w:rPr>
          <w:sz w:val="20"/>
          <w:szCs w:val="20"/>
          <w:color w:val="auto"/>
        </w:rPr>
      </w:pPr>
    </w:p>
    <w:p>
      <w:pPr>
        <w:ind w:left="1000"/>
        <w:spacing w:after="0" w:line="388" w:lineRule="exact"/>
        <w:rPr>
          <w:sz w:val="20"/>
          <w:szCs w:val="20"/>
          <w:color w:val="auto"/>
        </w:rPr>
      </w:pPr>
      <w:r>
        <w:rPr>
          <w:rFonts w:ascii="宋体" w:cs="宋体" w:eastAsia="宋体" w:hAnsi="宋体"/>
          <w:sz w:val="32"/>
          <w:szCs w:val="32"/>
          <w:color w:val="auto"/>
        </w:rPr>
        <w:t>（</w:t>
      </w:r>
      <w:r>
        <w:rPr>
          <w:rFonts w:ascii="Arial" w:cs="Arial" w:eastAsia="Arial" w:hAnsi="Arial"/>
          <w:sz w:val="32"/>
          <w:szCs w:val="32"/>
          <w:color w:val="auto"/>
        </w:rPr>
        <w:t>3</w:t>
      </w:r>
      <w:r>
        <w:rPr>
          <w:rFonts w:ascii="宋体" w:cs="宋体" w:eastAsia="宋体" w:hAnsi="宋体"/>
          <w:sz w:val="32"/>
          <w:szCs w:val="32"/>
          <w:color w:val="auto"/>
        </w:rPr>
        <w:t>）应收保费评估值的确定方法和结论。</w:t>
      </w:r>
    </w:p>
    <w:p>
      <w:pPr>
        <w:spacing w:after="0" w:line="236" w:lineRule="exact"/>
        <w:rPr>
          <w:sz w:val="20"/>
          <w:szCs w:val="20"/>
          <w:color w:val="auto"/>
        </w:rPr>
      </w:pPr>
    </w:p>
    <w:p>
      <w:pPr>
        <w:ind w:left="1000"/>
        <w:spacing w:after="0" w:line="388" w:lineRule="exact"/>
        <w:rPr>
          <w:sz w:val="20"/>
          <w:szCs w:val="20"/>
          <w:color w:val="auto"/>
        </w:rPr>
      </w:pPr>
      <w:r>
        <w:rPr>
          <w:rFonts w:ascii="Arial" w:cs="Arial" w:eastAsia="Arial" w:hAnsi="Arial"/>
          <w:sz w:val="32"/>
          <w:szCs w:val="32"/>
          <w:color w:val="auto"/>
        </w:rPr>
        <w:t>2.</w:t>
      </w:r>
      <w:r>
        <w:rPr>
          <w:rFonts w:ascii="宋体" w:cs="宋体" w:eastAsia="宋体" w:hAnsi="宋体"/>
          <w:sz w:val="32"/>
          <w:szCs w:val="32"/>
          <w:color w:val="auto"/>
        </w:rPr>
        <w:t>应收代位追偿款</w:t>
      </w:r>
    </w:p>
    <w:p>
      <w:pPr>
        <w:spacing w:after="0" w:line="236" w:lineRule="exact"/>
        <w:rPr>
          <w:sz w:val="20"/>
          <w:szCs w:val="20"/>
          <w:color w:val="auto"/>
        </w:rPr>
      </w:pPr>
    </w:p>
    <w:p>
      <w:pPr>
        <w:ind w:left="1000"/>
        <w:spacing w:after="0" w:line="388" w:lineRule="exact"/>
        <w:rPr>
          <w:sz w:val="20"/>
          <w:szCs w:val="20"/>
          <w:color w:val="auto"/>
        </w:rPr>
      </w:pPr>
      <w:r>
        <w:rPr>
          <w:rFonts w:ascii="宋体" w:cs="宋体" w:eastAsia="宋体" w:hAnsi="宋体"/>
          <w:sz w:val="32"/>
          <w:szCs w:val="32"/>
          <w:color w:val="auto"/>
        </w:rPr>
        <w:t>（</w:t>
      </w:r>
      <w:r>
        <w:rPr>
          <w:rFonts w:ascii="Arial" w:cs="Arial" w:eastAsia="Arial" w:hAnsi="Arial"/>
          <w:sz w:val="32"/>
          <w:szCs w:val="32"/>
          <w:color w:val="auto"/>
        </w:rPr>
        <w:t>1</w:t>
      </w:r>
      <w:r>
        <w:rPr>
          <w:rFonts w:ascii="宋体" w:cs="宋体" w:eastAsia="宋体" w:hAnsi="宋体"/>
          <w:sz w:val="32"/>
          <w:szCs w:val="32"/>
          <w:color w:val="auto"/>
        </w:rPr>
        <w:t>）应收代位追偿款发生时间、原因。</w:t>
      </w:r>
    </w:p>
    <w:p>
      <w:pPr>
        <w:spacing w:after="0" w:line="236" w:lineRule="exact"/>
        <w:rPr>
          <w:sz w:val="20"/>
          <w:szCs w:val="20"/>
          <w:color w:val="auto"/>
        </w:rPr>
      </w:pPr>
    </w:p>
    <w:p>
      <w:pPr>
        <w:ind w:left="1000"/>
        <w:spacing w:after="0" w:line="388" w:lineRule="exact"/>
        <w:rPr>
          <w:sz w:val="20"/>
          <w:szCs w:val="20"/>
          <w:color w:val="auto"/>
        </w:rPr>
      </w:pPr>
      <w:r>
        <w:rPr>
          <w:rFonts w:ascii="宋体" w:cs="宋体" w:eastAsia="宋体" w:hAnsi="宋体"/>
          <w:sz w:val="32"/>
          <w:szCs w:val="32"/>
          <w:color w:val="auto"/>
        </w:rPr>
        <w:t>（</w:t>
      </w:r>
      <w:r>
        <w:rPr>
          <w:rFonts w:ascii="Arial" w:cs="Arial" w:eastAsia="Arial" w:hAnsi="Arial"/>
          <w:sz w:val="32"/>
          <w:szCs w:val="32"/>
          <w:color w:val="auto"/>
        </w:rPr>
        <w:t>2</w:t>
      </w:r>
      <w:r>
        <w:rPr>
          <w:rFonts w:ascii="宋体" w:cs="宋体" w:eastAsia="宋体" w:hAnsi="宋体"/>
          <w:sz w:val="32"/>
          <w:szCs w:val="32"/>
          <w:color w:val="auto"/>
        </w:rPr>
        <w:t>）应收代位追偿款核实的方法和结论。</w:t>
      </w:r>
    </w:p>
    <w:p>
      <w:pPr>
        <w:spacing w:after="0" w:line="236" w:lineRule="exact"/>
        <w:rPr>
          <w:sz w:val="20"/>
          <w:szCs w:val="20"/>
          <w:color w:val="auto"/>
        </w:rPr>
      </w:pPr>
    </w:p>
    <w:p>
      <w:pPr>
        <w:ind w:left="1000"/>
        <w:spacing w:after="0" w:line="388" w:lineRule="exact"/>
        <w:rPr>
          <w:sz w:val="20"/>
          <w:szCs w:val="20"/>
          <w:color w:val="auto"/>
        </w:rPr>
      </w:pPr>
      <w:r>
        <w:rPr>
          <w:rFonts w:ascii="宋体" w:cs="宋体" w:eastAsia="宋体" w:hAnsi="宋体"/>
          <w:sz w:val="32"/>
          <w:szCs w:val="32"/>
          <w:color w:val="auto"/>
        </w:rPr>
        <w:t>（</w:t>
      </w:r>
      <w:r>
        <w:rPr>
          <w:rFonts w:ascii="Arial" w:cs="Arial" w:eastAsia="Arial" w:hAnsi="Arial"/>
          <w:sz w:val="32"/>
          <w:szCs w:val="32"/>
          <w:color w:val="auto"/>
        </w:rPr>
        <w:t>3</w:t>
      </w:r>
      <w:r>
        <w:rPr>
          <w:rFonts w:ascii="宋体" w:cs="宋体" w:eastAsia="宋体" w:hAnsi="宋体"/>
          <w:sz w:val="32"/>
          <w:szCs w:val="32"/>
          <w:color w:val="auto"/>
        </w:rPr>
        <w:t>）对可能发生坏账的项目，应当说明原因及取得的</w:t>
      </w:r>
    </w:p>
    <w:p>
      <w:pPr>
        <w:spacing w:after="0" w:line="260"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证据。</w:t>
      </w:r>
    </w:p>
    <w:p>
      <w:pPr>
        <w:spacing w:after="0" w:line="236" w:lineRule="exact"/>
        <w:rPr>
          <w:sz w:val="20"/>
          <w:szCs w:val="20"/>
          <w:color w:val="auto"/>
        </w:rPr>
      </w:pPr>
    </w:p>
    <w:p>
      <w:pPr>
        <w:ind w:left="1000"/>
        <w:spacing w:after="0" w:line="388" w:lineRule="exact"/>
        <w:rPr>
          <w:sz w:val="20"/>
          <w:szCs w:val="20"/>
          <w:color w:val="auto"/>
        </w:rPr>
      </w:pPr>
      <w:r>
        <w:rPr>
          <w:rFonts w:ascii="宋体" w:cs="宋体" w:eastAsia="宋体" w:hAnsi="宋体"/>
          <w:sz w:val="32"/>
          <w:szCs w:val="32"/>
          <w:color w:val="auto"/>
        </w:rPr>
        <w:t>（</w:t>
      </w:r>
      <w:r>
        <w:rPr>
          <w:rFonts w:ascii="Arial" w:cs="Arial" w:eastAsia="Arial" w:hAnsi="Arial"/>
          <w:sz w:val="32"/>
          <w:szCs w:val="32"/>
          <w:color w:val="auto"/>
        </w:rPr>
        <w:t>4</w:t>
      </w:r>
      <w:r>
        <w:rPr>
          <w:rFonts w:ascii="宋体" w:cs="宋体" w:eastAsia="宋体" w:hAnsi="宋体"/>
          <w:sz w:val="32"/>
          <w:szCs w:val="32"/>
          <w:color w:val="auto"/>
        </w:rPr>
        <w:t>）应收代位追偿款评估值的确定方法和结论。</w:t>
      </w:r>
    </w:p>
    <w:p>
      <w:pPr>
        <w:spacing w:after="0" w:line="236" w:lineRule="exact"/>
        <w:rPr>
          <w:sz w:val="20"/>
          <w:szCs w:val="20"/>
          <w:color w:val="auto"/>
        </w:rPr>
      </w:pPr>
    </w:p>
    <w:p>
      <w:pPr>
        <w:ind w:left="1000"/>
        <w:spacing w:after="0" w:line="388" w:lineRule="exact"/>
        <w:rPr>
          <w:sz w:val="20"/>
          <w:szCs w:val="20"/>
          <w:color w:val="auto"/>
        </w:rPr>
      </w:pPr>
      <w:r>
        <w:rPr>
          <w:rFonts w:ascii="Arial" w:cs="Arial" w:eastAsia="Arial" w:hAnsi="Arial"/>
          <w:sz w:val="32"/>
          <w:szCs w:val="32"/>
          <w:color w:val="auto"/>
        </w:rPr>
        <w:t>3.</w:t>
      </w:r>
      <w:r>
        <w:rPr>
          <w:rFonts w:ascii="宋体" w:cs="宋体" w:eastAsia="宋体" w:hAnsi="宋体"/>
          <w:sz w:val="32"/>
          <w:szCs w:val="32"/>
          <w:color w:val="auto"/>
        </w:rPr>
        <w:t>应收分保账款</w:t>
      </w:r>
    </w:p>
    <w:p>
      <w:pPr>
        <w:sectPr>
          <w:pgSz w:w="11900" w:h="16838" w:orient="portrait"/>
          <w:cols w:equalWidth="0" w:num="1">
            <w:col w:w="9026"/>
          </w:cols>
          <w:pgMar w:left="1440" w:top="1440" w:right="1440" w:bottom="1440" w:gutter="0" w:footer="0" w:header="0"/>
        </w:sectPr>
      </w:pPr>
    </w:p>
    <w:bookmarkStart w:id="44" w:name="page45"/>
    <w:bookmarkEnd w:id="44"/>
    <w:p>
      <w:pPr>
        <w:spacing w:after="0" w:line="81" w:lineRule="exact"/>
        <w:rPr>
          <w:sz w:val="20"/>
          <w:szCs w:val="20"/>
          <w:color w:val="auto"/>
        </w:rPr>
      </w:pPr>
    </w:p>
    <w:p>
      <w:pPr>
        <w:ind w:left="1000"/>
        <w:spacing w:after="0" w:line="388" w:lineRule="exact"/>
        <w:rPr>
          <w:sz w:val="20"/>
          <w:szCs w:val="20"/>
          <w:color w:val="auto"/>
        </w:rPr>
      </w:pPr>
      <w:r>
        <w:rPr>
          <w:rFonts w:ascii="宋体" w:cs="宋体" w:eastAsia="宋体" w:hAnsi="宋体"/>
          <w:sz w:val="32"/>
          <w:szCs w:val="32"/>
          <w:color w:val="auto"/>
        </w:rPr>
        <w:t>（</w:t>
      </w:r>
      <w:r>
        <w:rPr>
          <w:rFonts w:ascii="Arial" w:cs="Arial" w:eastAsia="Arial" w:hAnsi="Arial"/>
          <w:sz w:val="32"/>
          <w:szCs w:val="32"/>
          <w:color w:val="auto"/>
        </w:rPr>
        <w:t>1</w:t>
      </w:r>
      <w:r>
        <w:rPr>
          <w:rFonts w:ascii="宋体" w:cs="宋体" w:eastAsia="宋体" w:hAnsi="宋体"/>
          <w:sz w:val="32"/>
          <w:szCs w:val="32"/>
          <w:color w:val="auto"/>
        </w:rPr>
        <w:t>）应收分保账款发生时间、原因。</w:t>
      </w:r>
    </w:p>
    <w:p>
      <w:pPr>
        <w:spacing w:after="0" w:line="237" w:lineRule="exact"/>
        <w:rPr>
          <w:sz w:val="20"/>
          <w:szCs w:val="20"/>
          <w:color w:val="auto"/>
        </w:rPr>
      </w:pPr>
    </w:p>
    <w:p>
      <w:pPr>
        <w:ind w:left="1000"/>
        <w:spacing w:after="0" w:line="388" w:lineRule="exact"/>
        <w:rPr>
          <w:sz w:val="20"/>
          <w:szCs w:val="20"/>
          <w:color w:val="auto"/>
        </w:rPr>
      </w:pPr>
      <w:r>
        <w:rPr>
          <w:rFonts w:ascii="宋体" w:cs="宋体" w:eastAsia="宋体" w:hAnsi="宋体"/>
          <w:sz w:val="32"/>
          <w:szCs w:val="32"/>
          <w:color w:val="auto"/>
        </w:rPr>
        <w:t>（</w:t>
      </w:r>
      <w:r>
        <w:rPr>
          <w:rFonts w:ascii="Arial" w:cs="Arial" w:eastAsia="Arial" w:hAnsi="Arial"/>
          <w:sz w:val="32"/>
          <w:szCs w:val="32"/>
          <w:color w:val="auto"/>
        </w:rPr>
        <w:t>2</w:t>
      </w:r>
      <w:r>
        <w:rPr>
          <w:rFonts w:ascii="宋体" w:cs="宋体" w:eastAsia="宋体" w:hAnsi="宋体"/>
          <w:sz w:val="32"/>
          <w:szCs w:val="32"/>
          <w:color w:val="auto"/>
        </w:rPr>
        <w:t>）应收分保账款核实的方法和结论。</w:t>
      </w:r>
    </w:p>
    <w:p>
      <w:pPr>
        <w:spacing w:after="0" w:line="236" w:lineRule="exact"/>
        <w:rPr>
          <w:sz w:val="20"/>
          <w:szCs w:val="20"/>
          <w:color w:val="auto"/>
        </w:rPr>
      </w:pPr>
    </w:p>
    <w:p>
      <w:pPr>
        <w:ind w:left="1000"/>
        <w:spacing w:after="0" w:line="388" w:lineRule="exact"/>
        <w:rPr>
          <w:sz w:val="20"/>
          <w:szCs w:val="20"/>
          <w:color w:val="auto"/>
        </w:rPr>
      </w:pPr>
      <w:r>
        <w:rPr>
          <w:rFonts w:ascii="宋体" w:cs="宋体" w:eastAsia="宋体" w:hAnsi="宋体"/>
          <w:sz w:val="32"/>
          <w:szCs w:val="32"/>
          <w:color w:val="auto"/>
        </w:rPr>
        <w:t>（</w:t>
      </w:r>
      <w:r>
        <w:rPr>
          <w:rFonts w:ascii="Arial" w:cs="Arial" w:eastAsia="Arial" w:hAnsi="Arial"/>
          <w:sz w:val="32"/>
          <w:szCs w:val="32"/>
          <w:color w:val="auto"/>
        </w:rPr>
        <w:t>3</w:t>
      </w:r>
      <w:r>
        <w:rPr>
          <w:rFonts w:ascii="宋体" w:cs="宋体" w:eastAsia="宋体" w:hAnsi="宋体"/>
          <w:sz w:val="32"/>
          <w:szCs w:val="32"/>
          <w:color w:val="auto"/>
        </w:rPr>
        <w:t>）应收分保账款评估值的确定方法和结论。</w:t>
      </w:r>
    </w:p>
    <w:p>
      <w:pPr>
        <w:spacing w:after="0" w:line="236" w:lineRule="exact"/>
        <w:rPr>
          <w:sz w:val="20"/>
          <w:szCs w:val="20"/>
          <w:color w:val="auto"/>
        </w:rPr>
      </w:pPr>
    </w:p>
    <w:p>
      <w:pPr>
        <w:ind w:left="1000"/>
        <w:spacing w:after="0" w:line="388" w:lineRule="exact"/>
        <w:rPr>
          <w:sz w:val="20"/>
          <w:szCs w:val="20"/>
          <w:color w:val="auto"/>
        </w:rPr>
      </w:pPr>
      <w:r>
        <w:rPr>
          <w:rFonts w:ascii="Arial" w:cs="Arial" w:eastAsia="Arial" w:hAnsi="Arial"/>
          <w:sz w:val="32"/>
          <w:szCs w:val="32"/>
          <w:color w:val="auto"/>
        </w:rPr>
        <w:t>4.</w:t>
      </w:r>
      <w:r>
        <w:rPr>
          <w:rFonts w:ascii="宋体" w:cs="宋体" w:eastAsia="宋体" w:hAnsi="宋体"/>
          <w:sz w:val="32"/>
          <w:szCs w:val="32"/>
          <w:color w:val="auto"/>
        </w:rPr>
        <w:t>应收分保未到期责任准备金、应收分保未决赔款准备</w:t>
      </w:r>
    </w:p>
    <w:p>
      <w:pPr>
        <w:spacing w:after="0" w:line="270" w:lineRule="exact"/>
        <w:rPr>
          <w:sz w:val="20"/>
          <w:szCs w:val="20"/>
          <w:color w:val="auto"/>
        </w:rPr>
      </w:pPr>
    </w:p>
    <w:p>
      <w:pPr>
        <w:ind w:left="360"/>
        <w:spacing w:after="0" w:line="354" w:lineRule="exact"/>
        <w:rPr>
          <w:sz w:val="20"/>
          <w:szCs w:val="20"/>
          <w:color w:val="auto"/>
        </w:rPr>
      </w:pPr>
      <w:r>
        <w:rPr>
          <w:rFonts w:ascii="宋体" w:cs="宋体" w:eastAsia="宋体" w:hAnsi="宋体"/>
          <w:sz w:val="31"/>
          <w:szCs w:val="31"/>
          <w:color w:val="auto"/>
        </w:rPr>
        <w:t>金、应收分保寿险责任准备金、应收分保长期健康险责任准</w:t>
      </w:r>
    </w:p>
    <w:p>
      <w:pPr>
        <w:spacing w:after="0" w:line="259"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备金</w:t>
      </w:r>
    </w:p>
    <w:p>
      <w:pPr>
        <w:spacing w:after="0" w:line="236" w:lineRule="exact"/>
        <w:rPr>
          <w:sz w:val="20"/>
          <w:szCs w:val="20"/>
          <w:color w:val="auto"/>
        </w:rPr>
      </w:pPr>
    </w:p>
    <w:p>
      <w:pPr>
        <w:ind w:left="1000"/>
        <w:spacing w:after="0" w:line="388" w:lineRule="exact"/>
        <w:rPr>
          <w:sz w:val="20"/>
          <w:szCs w:val="20"/>
          <w:color w:val="auto"/>
        </w:rPr>
      </w:pPr>
      <w:r>
        <w:rPr>
          <w:rFonts w:ascii="宋体" w:cs="宋体" w:eastAsia="宋体" w:hAnsi="宋体"/>
          <w:sz w:val="32"/>
          <w:szCs w:val="32"/>
          <w:color w:val="auto"/>
        </w:rPr>
        <w:t>（</w:t>
      </w:r>
      <w:r>
        <w:rPr>
          <w:rFonts w:ascii="Arial" w:cs="Arial" w:eastAsia="Arial" w:hAnsi="Arial"/>
          <w:sz w:val="32"/>
          <w:szCs w:val="32"/>
          <w:color w:val="auto"/>
        </w:rPr>
        <w:t>1</w:t>
      </w:r>
      <w:r>
        <w:rPr>
          <w:rFonts w:ascii="宋体" w:cs="宋体" w:eastAsia="宋体" w:hAnsi="宋体"/>
          <w:sz w:val="32"/>
          <w:szCs w:val="32"/>
          <w:color w:val="auto"/>
        </w:rPr>
        <w:t>）应收分保未到期责任准备金、应收分保未决赔款</w:t>
      </w:r>
    </w:p>
    <w:p>
      <w:pPr>
        <w:spacing w:after="0" w:line="271" w:lineRule="exact"/>
        <w:rPr>
          <w:sz w:val="20"/>
          <w:szCs w:val="20"/>
          <w:color w:val="auto"/>
        </w:rPr>
      </w:pPr>
    </w:p>
    <w:p>
      <w:pPr>
        <w:ind w:left="360"/>
        <w:spacing w:after="0" w:line="354" w:lineRule="exact"/>
        <w:rPr>
          <w:sz w:val="20"/>
          <w:szCs w:val="20"/>
          <w:color w:val="auto"/>
        </w:rPr>
      </w:pPr>
      <w:r>
        <w:rPr>
          <w:rFonts w:ascii="宋体" w:cs="宋体" w:eastAsia="宋体" w:hAnsi="宋体"/>
          <w:sz w:val="31"/>
          <w:szCs w:val="31"/>
          <w:color w:val="auto"/>
        </w:rPr>
        <w:t>准备金、应收分保寿险责任准备金、应收分保长期健康险责</w:t>
      </w:r>
    </w:p>
    <w:p>
      <w:pPr>
        <w:spacing w:after="0" w:line="259"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任准备金发生时间、原因。</w:t>
      </w:r>
    </w:p>
    <w:p>
      <w:pPr>
        <w:spacing w:after="0" w:line="236" w:lineRule="exact"/>
        <w:rPr>
          <w:sz w:val="20"/>
          <w:szCs w:val="20"/>
          <w:color w:val="auto"/>
        </w:rPr>
      </w:pPr>
    </w:p>
    <w:p>
      <w:pPr>
        <w:ind w:left="1000"/>
        <w:spacing w:after="0" w:line="388" w:lineRule="exact"/>
        <w:rPr>
          <w:sz w:val="20"/>
          <w:szCs w:val="20"/>
          <w:color w:val="auto"/>
        </w:rPr>
      </w:pPr>
      <w:r>
        <w:rPr>
          <w:rFonts w:ascii="宋体" w:cs="宋体" w:eastAsia="宋体" w:hAnsi="宋体"/>
          <w:sz w:val="32"/>
          <w:szCs w:val="32"/>
          <w:color w:val="auto"/>
        </w:rPr>
        <w:t>（</w:t>
      </w:r>
      <w:r>
        <w:rPr>
          <w:rFonts w:ascii="Arial" w:cs="Arial" w:eastAsia="Arial" w:hAnsi="Arial"/>
          <w:sz w:val="32"/>
          <w:szCs w:val="32"/>
          <w:color w:val="auto"/>
        </w:rPr>
        <w:t>2</w:t>
      </w:r>
      <w:r>
        <w:rPr>
          <w:rFonts w:ascii="宋体" w:cs="宋体" w:eastAsia="宋体" w:hAnsi="宋体"/>
          <w:sz w:val="32"/>
          <w:szCs w:val="32"/>
          <w:color w:val="auto"/>
        </w:rPr>
        <w:t>）应收分保未到期责任准备金、应收分保未决赔款</w:t>
      </w:r>
    </w:p>
    <w:p>
      <w:pPr>
        <w:spacing w:after="0" w:line="270" w:lineRule="exact"/>
        <w:rPr>
          <w:sz w:val="20"/>
          <w:szCs w:val="20"/>
          <w:color w:val="auto"/>
        </w:rPr>
      </w:pPr>
    </w:p>
    <w:p>
      <w:pPr>
        <w:ind w:left="360"/>
        <w:spacing w:after="0" w:line="354" w:lineRule="exact"/>
        <w:rPr>
          <w:sz w:val="20"/>
          <w:szCs w:val="20"/>
          <w:color w:val="auto"/>
        </w:rPr>
      </w:pPr>
      <w:r>
        <w:rPr>
          <w:rFonts w:ascii="宋体" w:cs="宋体" w:eastAsia="宋体" w:hAnsi="宋体"/>
          <w:sz w:val="31"/>
          <w:szCs w:val="31"/>
          <w:color w:val="auto"/>
        </w:rPr>
        <w:t>准备金、应收分保寿险责任准备金、应收分保长期健康险责</w:t>
      </w:r>
    </w:p>
    <w:p>
      <w:pPr>
        <w:spacing w:after="0" w:line="259"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任准备金核实的方法和结论。</w:t>
      </w:r>
    </w:p>
    <w:p>
      <w:pPr>
        <w:spacing w:after="0" w:line="236" w:lineRule="exact"/>
        <w:rPr>
          <w:sz w:val="20"/>
          <w:szCs w:val="20"/>
          <w:color w:val="auto"/>
        </w:rPr>
      </w:pPr>
    </w:p>
    <w:p>
      <w:pPr>
        <w:ind w:left="1000"/>
        <w:spacing w:after="0" w:line="388" w:lineRule="exact"/>
        <w:rPr>
          <w:sz w:val="20"/>
          <w:szCs w:val="20"/>
          <w:color w:val="auto"/>
        </w:rPr>
      </w:pPr>
      <w:r>
        <w:rPr>
          <w:rFonts w:ascii="宋体" w:cs="宋体" w:eastAsia="宋体" w:hAnsi="宋体"/>
          <w:sz w:val="32"/>
          <w:szCs w:val="32"/>
          <w:color w:val="auto"/>
        </w:rPr>
        <w:t>（</w:t>
      </w:r>
      <w:r>
        <w:rPr>
          <w:rFonts w:ascii="Arial" w:cs="Arial" w:eastAsia="Arial" w:hAnsi="Arial"/>
          <w:sz w:val="32"/>
          <w:szCs w:val="32"/>
          <w:color w:val="auto"/>
        </w:rPr>
        <w:t>3</w:t>
      </w:r>
      <w:r>
        <w:rPr>
          <w:rFonts w:ascii="宋体" w:cs="宋体" w:eastAsia="宋体" w:hAnsi="宋体"/>
          <w:sz w:val="32"/>
          <w:szCs w:val="32"/>
          <w:color w:val="auto"/>
        </w:rPr>
        <w:t>）应收分保未到期责任准备金、应收分保未决赔款</w:t>
      </w:r>
    </w:p>
    <w:p>
      <w:pPr>
        <w:spacing w:after="0" w:line="271" w:lineRule="exact"/>
        <w:rPr>
          <w:sz w:val="20"/>
          <w:szCs w:val="20"/>
          <w:color w:val="auto"/>
        </w:rPr>
      </w:pPr>
    </w:p>
    <w:p>
      <w:pPr>
        <w:ind w:left="360"/>
        <w:spacing w:after="0" w:line="354" w:lineRule="exact"/>
        <w:rPr>
          <w:sz w:val="20"/>
          <w:szCs w:val="20"/>
          <w:color w:val="auto"/>
        </w:rPr>
      </w:pPr>
      <w:r>
        <w:rPr>
          <w:rFonts w:ascii="宋体" w:cs="宋体" w:eastAsia="宋体" w:hAnsi="宋体"/>
          <w:sz w:val="31"/>
          <w:szCs w:val="31"/>
          <w:color w:val="auto"/>
        </w:rPr>
        <w:t>准备金、应收分保寿险责任准备金、应收分保长期健康险责</w:t>
      </w:r>
    </w:p>
    <w:p>
      <w:pPr>
        <w:spacing w:after="0" w:line="259"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任准备金评估值的确定方法和结论。</w:t>
      </w:r>
    </w:p>
    <w:p>
      <w:pPr>
        <w:spacing w:after="0" w:line="236" w:lineRule="exact"/>
        <w:rPr>
          <w:sz w:val="20"/>
          <w:szCs w:val="20"/>
          <w:color w:val="auto"/>
        </w:rPr>
      </w:pPr>
    </w:p>
    <w:p>
      <w:pPr>
        <w:ind w:left="1000"/>
        <w:spacing w:after="0" w:line="388" w:lineRule="exact"/>
        <w:rPr>
          <w:sz w:val="20"/>
          <w:szCs w:val="20"/>
          <w:color w:val="auto"/>
        </w:rPr>
      </w:pPr>
      <w:r>
        <w:rPr>
          <w:rFonts w:ascii="Arial" w:cs="Arial" w:eastAsia="Arial" w:hAnsi="Arial"/>
          <w:sz w:val="32"/>
          <w:szCs w:val="32"/>
          <w:color w:val="auto"/>
        </w:rPr>
        <w:t>5.</w:t>
      </w:r>
      <w:r>
        <w:rPr>
          <w:rFonts w:ascii="宋体" w:cs="宋体" w:eastAsia="宋体" w:hAnsi="宋体"/>
          <w:sz w:val="32"/>
          <w:szCs w:val="32"/>
          <w:color w:val="auto"/>
        </w:rPr>
        <w:t>保户质押贷款</w:t>
      </w:r>
    </w:p>
    <w:p>
      <w:pPr>
        <w:spacing w:after="0" w:line="236" w:lineRule="exact"/>
        <w:rPr>
          <w:sz w:val="20"/>
          <w:szCs w:val="20"/>
          <w:color w:val="auto"/>
        </w:rPr>
      </w:pPr>
    </w:p>
    <w:p>
      <w:pPr>
        <w:ind w:left="1000"/>
        <w:spacing w:after="0" w:line="388" w:lineRule="exact"/>
        <w:rPr>
          <w:sz w:val="20"/>
          <w:szCs w:val="20"/>
          <w:color w:val="auto"/>
        </w:rPr>
      </w:pPr>
      <w:r>
        <w:rPr>
          <w:rFonts w:ascii="宋体" w:cs="宋体" w:eastAsia="宋体" w:hAnsi="宋体"/>
          <w:sz w:val="32"/>
          <w:szCs w:val="32"/>
          <w:color w:val="auto"/>
        </w:rPr>
        <w:t>（</w:t>
      </w:r>
      <w:r>
        <w:rPr>
          <w:rFonts w:ascii="Arial" w:cs="Arial" w:eastAsia="Arial" w:hAnsi="Arial"/>
          <w:sz w:val="32"/>
          <w:szCs w:val="32"/>
          <w:color w:val="auto"/>
        </w:rPr>
        <w:t>1</w:t>
      </w:r>
      <w:r>
        <w:rPr>
          <w:rFonts w:ascii="宋体" w:cs="宋体" w:eastAsia="宋体" w:hAnsi="宋体"/>
          <w:sz w:val="32"/>
          <w:szCs w:val="32"/>
          <w:color w:val="auto"/>
        </w:rPr>
        <w:t>）企业保户质押贷款管理制度。</w:t>
      </w:r>
    </w:p>
    <w:p>
      <w:pPr>
        <w:spacing w:after="0" w:line="236" w:lineRule="exact"/>
        <w:rPr>
          <w:sz w:val="20"/>
          <w:szCs w:val="20"/>
          <w:color w:val="auto"/>
        </w:rPr>
      </w:pPr>
    </w:p>
    <w:p>
      <w:pPr>
        <w:ind w:left="1000"/>
        <w:spacing w:after="0" w:line="388" w:lineRule="exact"/>
        <w:rPr>
          <w:sz w:val="20"/>
          <w:szCs w:val="20"/>
          <w:color w:val="auto"/>
        </w:rPr>
      </w:pPr>
      <w:r>
        <w:rPr>
          <w:rFonts w:ascii="宋体" w:cs="宋体" w:eastAsia="宋体" w:hAnsi="宋体"/>
          <w:sz w:val="32"/>
          <w:szCs w:val="32"/>
          <w:color w:val="auto"/>
        </w:rPr>
        <w:t>（</w:t>
      </w:r>
      <w:r>
        <w:rPr>
          <w:rFonts w:ascii="Arial" w:cs="Arial" w:eastAsia="Arial" w:hAnsi="Arial"/>
          <w:sz w:val="32"/>
          <w:szCs w:val="32"/>
          <w:color w:val="auto"/>
        </w:rPr>
        <w:t>2</w:t>
      </w:r>
      <w:r>
        <w:rPr>
          <w:rFonts w:ascii="宋体" w:cs="宋体" w:eastAsia="宋体" w:hAnsi="宋体"/>
          <w:sz w:val="32"/>
          <w:szCs w:val="32"/>
          <w:color w:val="auto"/>
        </w:rPr>
        <w:t>）保户质押贷款核实的方法和结论。</w:t>
      </w:r>
    </w:p>
    <w:p>
      <w:pPr>
        <w:spacing w:after="0" w:line="236" w:lineRule="exact"/>
        <w:rPr>
          <w:sz w:val="20"/>
          <w:szCs w:val="20"/>
          <w:color w:val="auto"/>
        </w:rPr>
      </w:pPr>
    </w:p>
    <w:p>
      <w:pPr>
        <w:ind w:left="1000"/>
        <w:spacing w:after="0" w:line="388" w:lineRule="exact"/>
        <w:rPr>
          <w:sz w:val="20"/>
          <w:szCs w:val="20"/>
          <w:color w:val="auto"/>
        </w:rPr>
      </w:pPr>
      <w:r>
        <w:rPr>
          <w:rFonts w:ascii="宋体" w:cs="宋体" w:eastAsia="宋体" w:hAnsi="宋体"/>
          <w:sz w:val="32"/>
          <w:szCs w:val="32"/>
          <w:color w:val="auto"/>
        </w:rPr>
        <w:t>（</w:t>
      </w:r>
      <w:r>
        <w:rPr>
          <w:rFonts w:ascii="Arial" w:cs="Arial" w:eastAsia="Arial" w:hAnsi="Arial"/>
          <w:sz w:val="32"/>
          <w:szCs w:val="32"/>
          <w:color w:val="auto"/>
        </w:rPr>
        <w:t>3</w:t>
      </w:r>
      <w:r>
        <w:rPr>
          <w:rFonts w:ascii="宋体" w:cs="宋体" w:eastAsia="宋体" w:hAnsi="宋体"/>
          <w:sz w:val="32"/>
          <w:szCs w:val="32"/>
          <w:color w:val="auto"/>
        </w:rPr>
        <w:t>）保户质押贷款评估值的确定方法和结论。</w:t>
      </w:r>
    </w:p>
    <w:p>
      <w:pPr>
        <w:spacing w:after="0" w:line="237" w:lineRule="exact"/>
        <w:rPr>
          <w:sz w:val="20"/>
          <w:szCs w:val="20"/>
          <w:color w:val="auto"/>
        </w:rPr>
      </w:pPr>
    </w:p>
    <w:p>
      <w:pPr>
        <w:ind w:left="1000"/>
        <w:spacing w:after="0" w:line="388" w:lineRule="exact"/>
        <w:rPr>
          <w:sz w:val="20"/>
          <w:szCs w:val="20"/>
          <w:color w:val="auto"/>
        </w:rPr>
      </w:pPr>
      <w:r>
        <w:rPr>
          <w:rFonts w:ascii="Arial" w:cs="Arial" w:eastAsia="Arial" w:hAnsi="Arial"/>
          <w:sz w:val="32"/>
          <w:szCs w:val="32"/>
          <w:color w:val="auto"/>
        </w:rPr>
        <w:t>6.</w:t>
      </w:r>
      <w:r>
        <w:rPr>
          <w:rFonts w:ascii="宋体" w:cs="宋体" w:eastAsia="宋体" w:hAnsi="宋体"/>
          <w:sz w:val="32"/>
          <w:szCs w:val="32"/>
          <w:color w:val="auto"/>
        </w:rPr>
        <w:t>定期存款</w:t>
      </w:r>
    </w:p>
    <w:p>
      <w:pPr>
        <w:spacing w:after="0" w:line="236" w:lineRule="exact"/>
        <w:rPr>
          <w:sz w:val="20"/>
          <w:szCs w:val="20"/>
          <w:color w:val="auto"/>
        </w:rPr>
      </w:pPr>
    </w:p>
    <w:p>
      <w:pPr>
        <w:ind w:left="1000"/>
        <w:spacing w:after="0" w:line="388" w:lineRule="exact"/>
        <w:rPr>
          <w:sz w:val="20"/>
          <w:szCs w:val="20"/>
          <w:color w:val="auto"/>
        </w:rPr>
      </w:pPr>
      <w:r>
        <w:rPr>
          <w:rFonts w:ascii="宋体" w:cs="宋体" w:eastAsia="宋体" w:hAnsi="宋体"/>
          <w:sz w:val="32"/>
          <w:szCs w:val="32"/>
          <w:color w:val="auto"/>
        </w:rPr>
        <w:t>（</w:t>
      </w:r>
      <w:r>
        <w:rPr>
          <w:rFonts w:ascii="Arial" w:cs="Arial" w:eastAsia="Arial" w:hAnsi="Arial"/>
          <w:sz w:val="32"/>
          <w:szCs w:val="32"/>
          <w:color w:val="auto"/>
        </w:rPr>
        <w:t>1</w:t>
      </w:r>
      <w:r>
        <w:rPr>
          <w:rFonts w:ascii="宋体" w:cs="宋体" w:eastAsia="宋体" w:hAnsi="宋体"/>
          <w:sz w:val="32"/>
          <w:szCs w:val="32"/>
          <w:color w:val="auto"/>
        </w:rPr>
        <w:t>）定期存款的金额、种类和企业确认依据。</w:t>
      </w:r>
    </w:p>
    <w:p>
      <w:pPr>
        <w:spacing w:after="0" w:line="236" w:lineRule="exact"/>
        <w:rPr>
          <w:sz w:val="20"/>
          <w:szCs w:val="20"/>
          <w:color w:val="auto"/>
        </w:rPr>
      </w:pPr>
    </w:p>
    <w:p>
      <w:pPr>
        <w:ind w:left="1000"/>
        <w:spacing w:after="0" w:line="388" w:lineRule="exact"/>
        <w:rPr>
          <w:sz w:val="20"/>
          <w:szCs w:val="20"/>
          <w:color w:val="auto"/>
        </w:rPr>
      </w:pPr>
      <w:r>
        <w:rPr>
          <w:rFonts w:ascii="宋体" w:cs="宋体" w:eastAsia="宋体" w:hAnsi="宋体"/>
          <w:sz w:val="32"/>
          <w:szCs w:val="32"/>
          <w:color w:val="auto"/>
        </w:rPr>
        <w:t>（</w:t>
      </w:r>
      <w:r>
        <w:rPr>
          <w:rFonts w:ascii="Arial" w:cs="Arial" w:eastAsia="Arial" w:hAnsi="Arial"/>
          <w:sz w:val="32"/>
          <w:szCs w:val="32"/>
          <w:color w:val="auto"/>
        </w:rPr>
        <w:t>2</w:t>
      </w:r>
      <w:r>
        <w:rPr>
          <w:rFonts w:ascii="宋体" w:cs="宋体" w:eastAsia="宋体" w:hAnsi="宋体"/>
          <w:sz w:val="32"/>
          <w:szCs w:val="32"/>
          <w:color w:val="auto"/>
        </w:rPr>
        <w:t>）定期存款核实的方法和结论。</w:t>
      </w:r>
    </w:p>
    <w:p>
      <w:pPr>
        <w:sectPr>
          <w:pgSz w:w="11900" w:h="16838" w:orient="portrait"/>
          <w:cols w:equalWidth="0" w:num="1">
            <w:col w:w="9026"/>
          </w:cols>
          <w:pgMar w:left="1440" w:top="1440" w:right="1440" w:bottom="1440" w:gutter="0" w:footer="0" w:header="0"/>
        </w:sectPr>
      </w:pPr>
    </w:p>
    <w:bookmarkStart w:id="45" w:name="page46"/>
    <w:bookmarkEnd w:id="45"/>
    <w:p>
      <w:pPr>
        <w:spacing w:after="0" w:line="81" w:lineRule="exact"/>
        <w:rPr>
          <w:sz w:val="20"/>
          <w:szCs w:val="20"/>
          <w:color w:val="auto"/>
        </w:rPr>
      </w:pPr>
    </w:p>
    <w:p>
      <w:pPr>
        <w:ind w:left="1000"/>
        <w:spacing w:after="0" w:line="388" w:lineRule="exact"/>
        <w:rPr>
          <w:sz w:val="20"/>
          <w:szCs w:val="20"/>
          <w:color w:val="auto"/>
        </w:rPr>
      </w:pPr>
      <w:r>
        <w:rPr>
          <w:rFonts w:ascii="宋体" w:cs="宋体" w:eastAsia="宋体" w:hAnsi="宋体"/>
          <w:sz w:val="32"/>
          <w:szCs w:val="32"/>
          <w:color w:val="auto"/>
        </w:rPr>
        <w:t>（</w:t>
      </w:r>
      <w:r>
        <w:rPr>
          <w:rFonts w:ascii="Arial" w:cs="Arial" w:eastAsia="Arial" w:hAnsi="Arial"/>
          <w:sz w:val="32"/>
          <w:szCs w:val="32"/>
          <w:color w:val="auto"/>
        </w:rPr>
        <w:t>3</w:t>
      </w:r>
      <w:r>
        <w:rPr>
          <w:rFonts w:ascii="宋体" w:cs="宋体" w:eastAsia="宋体" w:hAnsi="宋体"/>
          <w:sz w:val="32"/>
          <w:szCs w:val="32"/>
          <w:color w:val="auto"/>
        </w:rPr>
        <w:t>）定期存款评估值的确定方法和结论。</w:t>
      </w:r>
    </w:p>
    <w:p>
      <w:pPr>
        <w:spacing w:after="0" w:line="237" w:lineRule="exact"/>
        <w:rPr>
          <w:sz w:val="20"/>
          <w:szCs w:val="20"/>
          <w:color w:val="auto"/>
        </w:rPr>
      </w:pPr>
    </w:p>
    <w:p>
      <w:pPr>
        <w:ind w:left="1000"/>
        <w:spacing w:after="0" w:line="388" w:lineRule="exact"/>
        <w:rPr>
          <w:sz w:val="20"/>
          <w:szCs w:val="20"/>
          <w:color w:val="auto"/>
        </w:rPr>
      </w:pPr>
      <w:r>
        <w:rPr>
          <w:rFonts w:ascii="Arial" w:cs="Arial" w:eastAsia="Arial" w:hAnsi="Arial"/>
          <w:sz w:val="32"/>
          <w:szCs w:val="32"/>
          <w:color w:val="auto"/>
        </w:rPr>
        <w:t>7.</w:t>
      </w:r>
      <w:r>
        <w:rPr>
          <w:rFonts w:ascii="宋体" w:cs="宋体" w:eastAsia="宋体" w:hAnsi="宋体"/>
          <w:sz w:val="32"/>
          <w:szCs w:val="32"/>
          <w:color w:val="auto"/>
        </w:rPr>
        <w:t>存出资本保证金</w:t>
      </w:r>
    </w:p>
    <w:p>
      <w:pPr>
        <w:spacing w:after="0" w:line="248" w:lineRule="exact"/>
        <w:rPr>
          <w:sz w:val="20"/>
          <w:szCs w:val="20"/>
          <w:color w:val="auto"/>
        </w:rPr>
      </w:pPr>
    </w:p>
    <w:p>
      <w:pPr>
        <w:ind w:left="1000"/>
        <w:spacing w:after="0" w:line="376" w:lineRule="exact"/>
        <w:rPr>
          <w:sz w:val="20"/>
          <w:szCs w:val="20"/>
          <w:color w:val="auto"/>
        </w:rPr>
      </w:pPr>
      <w:r>
        <w:rPr>
          <w:rFonts w:ascii="宋体" w:cs="宋体" w:eastAsia="宋体" w:hAnsi="宋体"/>
          <w:sz w:val="31"/>
          <w:szCs w:val="31"/>
          <w:color w:val="auto"/>
        </w:rPr>
        <w:t>（</w:t>
      </w:r>
      <w:r>
        <w:rPr>
          <w:rFonts w:ascii="Arial" w:cs="Arial" w:eastAsia="Arial" w:hAnsi="Arial"/>
          <w:sz w:val="31"/>
          <w:szCs w:val="31"/>
          <w:color w:val="auto"/>
        </w:rPr>
        <w:t>1</w:t>
      </w:r>
      <w:r>
        <w:rPr>
          <w:rFonts w:ascii="宋体" w:cs="宋体" w:eastAsia="宋体" w:hAnsi="宋体"/>
          <w:sz w:val="31"/>
          <w:szCs w:val="31"/>
          <w:color w:val="auto"/>
        </w:rPr>
        <w:t>）存出资本保证金的金额、种类和企业确认依据。</w:t>
      </w:r>
    </w:p>
    <w:p>
      <w:pPr>
        <w:spacing w:after="0" w:line="236" w:lineRule="exact"/>
        <w:rPr>
          <w:sz w:val="20"/>
          <w:szCs w:val="20"/>
          <w:color w:val="auto"/>
        </w:rPr>
      </w:pPr>
    </w:p>
    <w:p>
      <w:pPr>
        <w:ind w:left="1000"/>
        <w:spacing w:after="0" w:line="388" w:lineRule="exact"/>
        <w:rPr>
          <w:sz w:val="20"/>
          <w:szCs w:val="20"/>
          <w:color w:val="auto"/>
        </w:rPr>
      </w:pPr>
      <w:r>
        <w:rPr>
          <w:rFonts w:ascii="宋体" w:cs="宋体" w:eastAsia="宋体" w:hAnsi="宋体"/>
          <w:sz w:val="32"/>
          <w:szCs w:val="32"/>
          <w:color w:val="auto"/>
        </w:rPr>
        <w:t>（</w:t>
      </w:r>
      <w:r>
        <w:rPr>
          <w:rFonts w:ascii="Arial" w:cs="Arial" w:eastAsia="Arial" w:hAnsi="Arial"/>
          <w:sz w:val="32"/>
          <w:szCs w:val="32"/>
          <w:color w:val="auto"/>
        </w:rPr>
        <w:t>2</w:t>
      </w:r>
      <w:r>
        <w:rPr>
          <w:rFonts w:ascii="宋体" w:cs="宋体" w:eastAsia="宋体" w:hAnsi="宋体"/>
          <w:sz w:val="32"/>
          <w:szCs w:val="32"/>
          <w:color w:val="auto"/>
        </w:rPr>
        <w:t>）存出资本保证金核实的方法和结论。</w:t>
      </w:r>
    </w:p>
    <w:p>
      <w:pPr>
        <w:spacing w:after="0" w:line="236" w:lineRule="exact"/>
        <w:rPr>
          <w:sz w:val="20"/>
          <w:szCs w:val="20"/>
          <w:color w:val="auto"/>
        </w:rPr>
      </w:pPr>
    </w:p>
    <w:p>
      <w:pPr>
        <w:ind w:left="1000"/>
        <w:spacing w:after="0" w:line="388" w:lineRule="exact"/>
        <w:rPr>
          <w:sz w:val="20"/>
          <w:szCs w:val="20"/>
          <w:color w:val="auto"/>
        </w:rPr>
      </w:pPr>
      <w:r>
        <w:rPr>
          <w:rFonts w:ascii="宋体" w:cs="宋体" w:eastAsia="宋体" w:hAnsi="宋体"/>
          <w:sz w:val="32"/>
          <w:szCs w:val="32"/>
          <w:color w:val="auto"/>
        </w:rPr>
        <w:t>（</w:t>
      </w:r>
      <w:r>
        <w:rPr>
          <w:rFonts w:ascii="Arial" w:cs="Arial" w:eastAsia="Arial" w:hAnsi="Arial"/>
          <w:sz w:val="32"/>
          <w:szCs w:val="32"/>
          <w:color w:val="auto"/>
        </w:rPr>
        <w:t>3</w:t>
      </w:r>
      <w:r>
        <w:rPr>
          <w:rFonts w:ascii="宋体" w:cs="宋体" w:eastAsia="宋体" w:hAnsi="宋体"/>
          <w:sz w:val="32"/>
          <w:szCs w:val="32"/>
          <w:color w:val="auto"/>
        </w:rPr>
        <w:t>）存出资本保证金评估值的确定方法和结论。</w:t>
      </w:r>
    </w:p>
    <w:p>
      <w:pPr>
        <w:spacing w:after="0" w:line="236" w:lineRule="exact"/>
        <w:rPr>
          <w:sz w:val="20"/>
          <w:szCs w:val="20"/>
          <w:color w:val="auto"/>
        </w:rPr>
      </w:pPr>
    </w:p>
    <w:p>
      <w:pPr>
        <w:ind w:left="1000"/>
        <w:spacing w:after="0" w:line="388" w:lineRule="exact"/>
        <w:rPr>
          <w:sz w:val="20"/>
          <w:szCs w:val="20"/>
          <w:color w:val="auto"/>
        </w:rPr>
      </w:pPr>
      <w:r>
        <w:rPr>
          <w:rFonts w:ascii="Arial" w:cs="Arial" w:eastAsia="Arial" w:hAnsi="Arial"/>
          <w:sz w:val="32"/>
          <w:szCs w:val="32"/>
          <w:color w:val="auto"/>
        </w:rPr>
        <w:t>8.</w:t>
      </w:r>
      <w:r>
        <w:rPr>
          <w:rFonts w:ascii="宋体" w:cs="宋体" w:eastAsia="宋体" w:hAnsi="宋体"/>
          <w:sz w:val="32"/>
          <w:szCs w:val="32"/>
          <w:color w:val="auto"/>
        </w:rPr>
        <w:t>独立账户资产</w:t>
      </w:r>
    </w:p>
    <w:p>
      <w:pPr>
        <w:spacing w:after="0" w:line="236" w:lineRule="exact"/>
        <w:rPr>
          <w:sz w:val="20"/>
          <w:szCs w:val="20"/>
          <w:color w:val="auto"/>
        </w:rPr>
      </w:pPr>
    </w:p>
    <w:p>
      <w:pPr>
        <w:ind w:left="1000"/>
        <w:spacing w:after="0" w:line="388" w:lineRule="exact"/>
        <w:rPr>
          <w:sz w:val="20"/>
          <w:szCs w:val="20"/>
          <w:color w:val="auto"/>
        </w:rPr>
      </w:pPr>
      <w:r>
        <w:rPr>
          <w:rFonts w:ascii="宋体" w:cs="宋体" w:eastAsia="宋体" w:hAnsi="宋体"/>
          <w:sz w:val="32"/>
          <w:szCs w:val="32"/>
          <w:color w:val="auto"/>
        </w:rPr>
        <w:t>（</w:t>
      </w:r>
      <w:r>
        <w:rPr>
          <w:rFonts w:ascii="Arial" w:cs="Arial" w:eastAsia="Arial" w:hAnsi="Arial"/>
          <w:sz w:val="32"/>
          <w:szCs w:val="32"/>
          <w:color w:val="auto"/>
        </w:rPr>
        <w:t>1</w:t>
      </w:r>
      <w:r>
        <w:rPr>
          <w:rFonts w:ascii="宋体" w:cs="宋体" w:eastAsia="宋体" w:hAnsi="宋体"/>
          <w:sz w:val="32"/>
          <w:szCs w:val="32"/>
          <w:color w:val="auto"/>
        </w:rPr>
        <w:t>）相关合同、协议内容。</w:t>
      </w:r>
    </w:p>
    <w:p>
      <w:pPr>
        <w:spacing w:after="0" w:line="237" w:lineRule="exact"/>
        <w:rPr>
          <w:sz w:val="20"/>
          <w:szCs w:val="20"/>
          <w:color w:val="auto"/>
        </w:rPr>
      </w:pPr>
    </w:p>
    <w:p>
      <w:pPr>
        <w:ind w:left="1000"/>
        <w:spacing w:after="0" w:line="388" w:lineRule="exact"/>
        <w:rPr>
          <w:sz w:val="20"/>
          <w:szCs w:val="20"/>
          <w:color w:val="auto"/>
        </w:rPr>
      </w:pPr>
      <w:r>
        <w:rPr>
          <w:rFonts w:ascii="宋体" w:cs="宋体" w:eastAsia="宋体" w:hAnsi="宋体"/>
          <w:sz w:val="32"/>
          <w:szCs w:val="32"/>
          <w:color w:val="auto"/>
        </w:rPr>
        <w:t>（</w:t>
      </w:r>
      <w:r>
        <w:rPr>
          <w:rFonts w:ascii="Arial" w:cs="Arial" w:eastAsia="Arial" w:hAnsi="Arial"/>
          <w:sz w:val="32"/>
          <w:szCs w:val="32"/>
          <w:color w:val="auto"/>
        </w:rPr>
        <w:t>2</w:t>
      </w:r>
      <w:r>
        <w:rPr>
          <w:rFonts w:ascii="宋体" w:cs="宋体" w:eastAsia="宋体" w:hAnsi="宋体"/>
          <w:sz w:val="32"/>
          <w:szCs w:val="32"/>
          <w:color w:val="auto"/>
        </w:rPr>
        <w:t>）独立账户资产核实的方法和结论。</w:t>
      </w:r>
    </w:p>
    <w:p>
      <w:pPr>
        <w:spacing w:after="0" w:line="236" w:lineRule="exact"/>
        <w:rPr>
          <w:sz w:val="20"/>
          <w:szCs w:val="20"/>
          <w:color w:val="auto"/>
        </w:rPr>
      </w:pPr>
    </w:p>
    <w:p>
      <w:pPr>
        <w:ind w:left="1000"/>
        <w:spacing w:after="0" w:line="388" w:lineRule="exact"/>
        <w:rPr>
          <w:sz w:val="20"/>
          <w:szCs w:val="20"/>
          <w:color w:val="auto"/>
        </w:rPr>
      </w:pPr>
      <w:r>
        <w:rPr>
          <w:rFonts w:ascii="宋体" w:cs="宋体" w:eastAsia="宋体" w:hAnsi="宋体"/>
          <w:sz w:val="32"/>
          <w:szCs w:val="32"/>
          <w:color w:val="auto"/>
        </w:rPr>
        <w:t>（</w:t>
      </w:r>
      <w:r>
        <w:rPr>
          <w:rFonts w:ascii="Arial" w:cs="Arial" w:eastAsia="Arial" w:hAnsi="Arial"/>
          <w:sz w:val="32"/>
          <w:szCs w:val="32"/>
          <w:color w:val="auto"/>
        </w:rPr>
        <w:t>3</w:t>
      </w:r>
      <w:r>
        <w:rPr>
          <w:rFonts w:ascii="宋体" w:cs="宋体" w:eastAsia="宋体" w:hAnsi="宋体"/>
          <w:sz w:val="32"/>
          <w:szCs w:val="32"/>
          <w:color w:val="auto"/>
        </w:rPr>
        <w:t>）独立账户资产评估值的确定方法和结论。</w:t>
      </w:r>
    </w:p>
    <w:p>
      <w:pPr>
        <w:spacing w:after="0" w:line="236" w:lineRule="exact"/>
        <w:rPr>
          <w:sz w:val="20"/>
          <w:szCs w:val="20"/>
          <w:color w:val="auto"/>
        </w:rPr>
      </w:pPr>
    </w:p>
    <w:p>
      <w:pPr>
        <w:ind w:left="1000"/>
        <w:spacing w:after="0" w:line="388" w:lineRule="exact"/>
        <w:rPr>
          <w:sz w:val="20"/>
          <w:szCs w:val="20"/>
          <w:color w:val="auto"/>
        </w:rPr>
      </w:pPr>
      <w:r>
        <w:rPr>
          <w:rFonts w:ascii="Arial" w:cs="Arial" w:eastAsia="Arial" w:hAnsi="Arial"/>
          <w:sz w:val="32"/>
          <w:szCs w:val="32"/>
          <w:color w:val="auto"/>
        </w:rPr>
        <w:t>9</w:t>
      </w:r>
      <w:r>
        <w:rPr>
          <w:rFonts w:ascii="宋体" w:cs="宋体" w:eastAsia="宋体" w:hAnsi="宋体"/>
          <w:sz w:val="32"/>
          <w:szCs w:val="32"/>
          <w:color w:val="auto"/>
        </w:rPr>
        <w:t>．其他资产</w:t>
      </w:r>
    </w:p>
    <w:p>
      <w:pPr>
        <w:spacing w:after="0" w:line="236" w:lineRule="exact"/>
        <w:rPr>
          <w:sz w:val="20"/>
          <w:szCs w:val="20"/>
          <w:color w:val="auto"/>
        </w:rPr>
      </w:pPr>
    </w:p>
    <w:p>
      <w:pPr>
        <w:ind w:left="1000"/>
        <w:spacing w:after="0" w:line="388" w:lineRule="exact"/>
        <w:rPr>
          <w:sz w:val="20"/>
          <w:szCs w:val="20"/>
          <w:color w:val="auto"/>
        </w:rPr>
      </w:pPr>
      <w:r>
        <w:rPr>
          <w:rFonts w:ascii="宋体" w:cs="宋体" w:eastAsia="宋体" w:hAnsi="宋体"/>
          <w:sz w:val="32"/>
          <w:szCs w:val="32"/>
          <w:color w:val="auto"/>
        </w:rPr>
        <w:t>（</w:t>
      </w:r>
      <w:r>
        <w:rPr>
          <w:rFonts w:ascii="Arial" w:cs="Arial" w:eastAsia="Arial" w:hAnsi="Arial"/>
          <w:sz w:val="32"/>
          <w:szCs w:val="32"/>
          <w:color w:val="auto"/>
        </w:rPr>
        <w:t>1</w:t>
      </w:r>
      <w:r>
        <w:rPr>
          <w:rFonts w:ascii="宋体" w:cs="宋体" w:eastAsia="宋体" w:hAnsi="宋体"/>
          <w:sz w:val="32"/>
          <w:szCs w:val="32"/>
          <w:color w:val="auto"/>
        </w:rPr>
        <w:t>）其他应收款</w:t>
      </w:r>
    </w:p>
    <w:p>
      <w:pPr>
        <w:spacing w:after="0" w:line="236" w:lineRule="exact"/>
        <w:rPr>
          <w:sz w:val="20"/>
          <w:szCs w:val="20"/>
          <w:color w:val="auto"/>
        </w:rPr>
      </w:pPr>
    </w:p>
    <w:p>
      <w:pPr>
        <w:ind w:left="1000"/>
        <w:spacing w:after="0" w:line="388" w:lineRule="exact"/>
        <w:rPr>
          <w:sz w:val="20"/>
          <w:szCs w:val="20"/>
          <w:color w:val="auto"/>
        </w:rPr>
      </w:pPr>
      <w:r>
        <w:rPr>
          <w:rFonts w:ascii="Arial" w:cs="Arial" w:eastAsia="Arial" w:hAnsi="Arial"/>
          <w:sz w:val="32"/>
          <w:szCs w:val="32"/>
          <w:color w:val="auto"/>
        </w:rPr>
        <w:t>1)</w:t>
      </w:r>
      <w:r>
        <w:rPr>
          <w:rFonts w:ascii="宋体" w:cs="宋体" w:eastAsia="宋体" w:hAnsi="宋体"/>
          <w:sz w:val="32"/>
          <w:szCs w:val="32"/>
          <w:color w:val="auto"/>
        </w:rPr>
        <w:t>其他应收款发生时间、原因。</w:t>
      </w:r>
    </w:p>
    <w:p>
      <w:pPr>
        <w:spacing w:after="0" w:line="236" w:lineRule="exact"/>
        <w:rPr>
          <w:sz w:val="20"/>
          <w:szCs w:val="20"/>
          <w:color w:val="auto"/>
        </w:rPr>
      </w:pPr>
    </w:p>
    <w:p>
      <w:pPr>
        <w:ind w:left="1000"/>
        <w:spacing w:after="0" w:line="388" w:lineRule="exact"/>
        <w:rPr>
          <w:sz w:val="20"/>
          <w:szCs w:val="20"/>
          <w:color w:val="auto"/>
        </w:rPr>
      </w:pPr>
      <w:r>
        <w:rPr>
          <w:rFonts w:ascii="Arial" w:cs="Arial" w:eastAsia="Arial" w:hAnsi="Arial"/>
          <w:sz w:val="32"/>
          <w:szCs w:val="32"/>
          <w:color w:val="auto"/>
        </w:rPr>
        <w:t>2)</w:t>
      </w:r>
      <w:r>
        <w:rPr>
          <w:rFonts w:ascii="宋体" w:cs="宋体" w:eastAsia="宋体" w:hAnsi="宋体"/>
          <w:sz w:val="32"/>
          <w:szCs w:val="32"/>
          <w:color w:val="auto"/>
        </w:rPr>
        <w:t>其他应收款核实的方法和结论。</w:t>
      </w:r>
    </w:p>
    <w:p>
      <w:pPr>
        <w:spacing w:after="0" w:line="237" w:lineRule="exact"/>
        <w:rPr>
          <w:sz w:val="20"/>
          <w:szCs w:val="20"/>
          <w:color w:val="auto"/>
        </w:rPr>
      </w:pPr>
    </w:p>
    <w:p>
      <w:pPr>
        <w:ind w:left="1000"/>
        <w:spacing w:after="0" w:line="388" w:lineRule="exact"/>
        <w:rPr>
          <w:sz w:val="20"/>
          <w:szCs w:val="20"/>
          <w:color w:val="auto"/>
        </w:rPr>
      </w:pPr>
      <w:r>
        <w:rPr>
          <w:rFonts w:ascii="Arial" w:cs="Arial" w:eastAsia="Arial" w:hAnsi="Arial"/>
          <w:sz w:val="32"/>
          <w:szCs w:val="32"/>
          <w:color w:val="auto"/>
        </w:rPr>
        <w:t>3)</w:t>
      </w:r>
      <w:r>
        <w:rPr>
          <w:rFonts w:ascii="宋体" w:cs="宋体" w:eastAsia="宋体" w:hAnsi="宋体"/>
          <w:sz w:val="32"/>
          <w:szCs w:val="32"/>
          <w:color w:val="auto"/>
        </w:rPr>
        <w:t>其他应收款评估值的确定方法和结论。</w:t>
      </w:r>
    </w:p>
    <w:p>
      <w:pPr>
        <w:spacing w:after="0" w:line="236" w:lineRule="exact"/>
        <w:rPr>
          <w:sz w:val="20"/>
          <w:szCs w:val="20"/>
          <w:color w:val="auto"/>
        </w:rPr>
      </w:pPr>
    </w:p>
    <w:p>
      <w:pPr>
        <w:ind w:left="1000"/>
        <w:spacing w:after="0" w:line="388" w:lineRule="exact"/>
        <w:rPr>
          <w:sz w:val="20"/>
          <w:szCs w:val="20"/>
          <w:color w:val="auto"/>
        </w:rPr>
      </w:pPr>
      <w:r>
        <w:rPr>
          <w:rFonts w:ascii="宋体" w:cs="宋体" w:eastAsia="宋体" w:hAnsi="宋体"/>
          <w:sz w:val="32"/>
          <w:szCs w:val="32"/>
          <w:color w:val="auto"/>
        </w:rPr>
        <w:t>（</w:t>
      </w:r>
      <w:r>
        <w:rPr>
          <w:rFonts w:ascii="Arial" w:cs="Arial" w:eastAsia="Arial" w:hAnsi="Arial"/>
          <w:sz w:val="32"/>
          <w:szCs w:val="32"/>
          <w:color w:val="auto"/>
        </w:rPr>
        <w:t>2</w:t>
      </w:r>
      <w:r>
        <w:rPr>
          <w:rFonts w:ascii="宋体" w:cs="宋体" w:eastAsia="宋体" w:hAnsi="宋体"/>
          <w:sz w:val="32"/>
          <w:szCs w:val="32"/>
          <w:color w:val="auto"/>
        </w:rPr>
        <w:t>）存出分保准备金</w:t>
      </w:r>
    </w:p>
    <w:p>
      <w:pPr>
        <w:spacing w:after="0" w:line="236" w:lineRule="exact"/>
        <w:rPr>
          <w:sz w:val="20"/>
          <w:szCs w:val="20"/>
          <w:color w:val="auto"/>
        </w:rPr>
      </w:pPr>
    </w:p>
    <w:p>
      <w:pPr>
        <w:ind w:left="1000"/>
        <w:spacing w:after="0" w:line="388" w:lineRule="exact"/>
        <w:rPr>
          <w:sz w:val="20"/>
          <w:szCs w:val="20"/>
          <w:color w:val="auto"/>
        </w:rPr>
      </w:pPr>
      <w:r>
        <w:rPr>
          <w:rFonts w:ascii="Arial" w:cs="Arial" w:eastAsia="Arial" w:hAnsi="Arial"/>
          <w:sz w:val="32"/>
          <w:szCs w:val="32"/>
          <w:color w:val="auto"/>
        </w:rPr>
        <w:t>1)</w:t>
      </w:r>
      <w:r>
        <w:rPr>
          <w:rFonts w:ascii="宋体" w:cs="宋体" w:eastAsia="宋体" w:hAnsi="宋体"/>
          <w:sz w:val="32"/>
          <w:szCs w:val="32"/>
          <w:color w:val="auto"/>
        </w:rPr>
        <w:t>存出分保准备金的金额、种类和企业确认依据。</w:t>
      </w:r>
    </w:p>
    <w:p>
      <w:pPr>
        <w:spacing w:after="0" w:line="236" w:lineRule="exact"/>
        <w:rPr>
          <w:sz w:val="20"/>
          <w:szCs w:val="20"/>
          <w:color w:val="auto"/>
        </w:rPr>
      </w:pPr>
    </w:p>
    <w:p>
      <w:pPr>
        <w:ind w:left="1000"/>
        <w:spacing w:after="0" w:line="388" w:lineRule="exact"/>
        <w:rPr>
          <w:sz w:val="20"/>
          <w:szCs w:val="20"/>
          <w:color w:val="auto"/>
        </w:rPr>
      </w:pPr>
      <w:r>
        <w:rPr>
          <w:rFonts w:ascii="Arial" w:cs="Arial" w:eastAsia="Arial" w:hAnsi="Arial"/>
          <w:sz w:val="32"/>
          <w:szCs w:val="32"/>
          <w:color w:val="auto"/>
        </w:rPr>
        <w:t>2)</w:t>
      </w:r>
      <w:r>
        <w:rPr>
          <w:rFonts w:ascii="宋体" w:cs="宋体" w:eastAsia="宋体" w:hAnsi="宋体"/>
          <w:sz w:val="32"/>
          <w:szCs w:val="32"/>
          <w:color w:val="auto"/>
        </w:rPr>
        <w:t>存出分保准备金核实的方法和结论。</w:t>
      </w:r>
    </w:p>
    <w:p>
      <w:pPr>
        <w:spacing w:after="0" w:line="236" w:lineRule="exact"/>
        <w:rPr>
          <w:sz w:val="20"/>
          <w:szCs w:val="20"/>
          <w:color w:val="auto"/>
        </w:rPr>
      </w:pPr>
    </w:p>
    <w:p>
      <w:pPr>
        <w:ind w:left="1000"/>
        <w:spacing w:after="0" w:line="388" w:lineRule="exact"/>
        <w:rPr>
          <w:sz w:val="20"/>
          <w:szCs w:val="20"/>
          <w:color w:val="auto"/>
        </w:rPr>
      </w:pPr>
      <w:r>
        <w:rPr>
          <w:rFonts w:ascii="Arial" w:cs="Arial" w:eastAsia="Arial" w:hAnsi="Arial"/>
          <w:sz w:val="32"/>
          <w:szCs w:val="32"/>
          <w:color w:val="auto"/>
        </w:rPr>
        <w:t>3)</w:t>
      </w:r>
      <w:r>
        <w:rPr>
          <w:rFonts w:ascii="宋体" w:cs="宋体" w:eastAsia="宋体" w:hAnsi="宋体"/>
          <w:sz w:val="32"/>
          <w:szCs w:val="32"/>
          <w:color w:val="auto"/>
        </w:rPr>
        <w:t>存出分保准备金评估值的确定方法和结论。</w:t>
      </w:r>
    </w:p>
    <w:p>
      <w:pPr>
        <w:spacing w:after="0" w:line="236" w:lineRule="exact"/>
        <w:rPr>
          <w:sz w:val="20"/>
          <w:szCs w:val="20"/>
          <w:color w:val="auto"/>
        </w:rPr>
      </w:pPr>
    </w:p>
    <w:p>
      <w:pPr>
        <w:ind w:left="1000"/>
        <w:spacing w:after="0" w:line="388" w:lineRule="exact"/>
        <w:rPr>
          <w:sz w:val="20"/>
          <w:szCs w:val="20"/>
          <w:color w:val="auto"/>
        </w:rPr>
      </w:pPr>
      <w:r>
        <w:rPr>
          <w:rFonts w:ascii="宋体" w:cs="宋体" w:eastAsia="宋体" w:hAnsi="宋体"/>
          <w:sz w:val="32"/>
          <w:szCs w:val="32"/>
          <w:color w:val="auto"/>
        </w:rPr>
        <w:t>（</w:t>
      </w:r>
      <w:r>
        <w:rPr>
          <w:rFonts w:ascii="Arial" w:cs="Arial" w:eastAsia="Arial" w:hAnsi="Arial"/>
          <w:sz w:val="32"/>
          <w:szCs w:val="32"/>
          <w:color w:val="auto"/>
        </w:rPr>
        <w:t>3</w:t>
      </w:r>
      <w:r>
        <w:rPr>
          <w:rFonts w:ascii="宋体" w:cs="宋体" w:eastAsia="宋体" w:hAnsi="宋体"/>
          <w:sz w:val="32"/>
          <w:szCs w:val="32"/>
          <w:color w:val="auto"/>
        </w:rPr>
        <w:t>）损余物资</w:t>
      </w:r>
    </w:p>
    <w:p>
      <w:pPr>
        <w:spacing w:after="0" w:line="237" w:lineRule="exact"/>
        <w:rPr>
          <w:sz w:val="20"/>
          <w:szCs w:val="20"/>
          <w:color w:val="auto"/>
        </w:rPr>
      </w:pPr>
    </w:p>
    <w:p>
      <w:pPr>
        <w:ind w:left="1000"/>
        <w:spacing w:after="0" w:line="388" w:lineRule="exact"/>
        <w:rPr>
          <w:sz w:val="20"/>
          <w:szCs w:val="20"/>
          <w:color w:val="auto"/>
        </w:rPr>
      </w:pPr>
      <w:r>
        <w:rPr>
          <w:rFonts w:ascii="Arial" w:cs="Arial" w:eastAsia="Arial" w:hAnsi="Arial"/>
          <w:sz w:val="32"/>
          <w:szCs w:val="32"/>
          <w:color w:val="auto"/>
        </w:rPr>
        <w:t>1)</w:t>
      </w:r>
      <w:r>
        <w:rPr>
          <w:rFonts w:ascii="宋体" w:cs="宋体" w:eastAsia="宋体" w:hAnsi="宋体"/>
          <w:sz w:val="32"/>
          <w:szCs w:val="32"/>
          <w:color w:val="auto"/>
        </w:rPr>
        <w:t>损余物资来源，说明原保险合同主要内容。</w:t>
      </w:r>
    </w:p>
    <w:p>
      <w:pPr>
        <w:spacing w:after="0" w:line="236" w:lineRule="exact"/>
        <w:rPr>
          <w:sz w:val="20"/>
          <w:szCs w:val="20"/>
          <w:color w:val="auto"/>
        </w:rPr>
      </w:pPr>
    </w:p>
    <w:p>
      <w:pPr>
        <w:ind w:left="1000"/>
        <w:spacing w:after="0" w:line="388" w:lineRule="exact"/>
        <w:rPr>
          <w:sz w:val="20"/>
          <w:szCs w:val="20"/>
          <w:color w:val="auto"/>
        </w:rPr>
      </w:pPr>
      <w:r>
        <w:rPr>
          <w:rFonts w:ascii="Arial" w:cs="Arial" w:eastAsia="Arial" w:hAnsi="Arial"/>
          <w:sz w:val="32"/>
          <w:szCs w:val="32"/>
          <w:color w:val="auto"/>
        </w:rPr>
        <w:t>2)</w:t>
      </w:r>
      <w:r>
        <w:rPr>
          <w:rFonts w:ascii="宋体" w:cs="宋体" w:eastAsia="宋体" w:hAnsi="宋体"/>
          <w:sz w:val="32"/>
          <w:szCs w:val="32"/>
          <w:color w:val="auto"/>
        </w:rPr>
        <w:t>账面价值构成，分析价值构成的合理性。</w:t>
      </w:r>
    </w:p>
    <w:p>
      <w:pPr>
        <w:spacing w:after="0" w:line="236" w:lineRule="exact"/>
        <w:rPr>
          <w:sz w:val="20"/>
          <w:szCs w:val="20"/>
          <w:color w:val="auto"/>
        </w:rPr>
      </w:pPr>
    </w:p>
    <w:p>
      <w:pPr>
        <w:ind w:left="1000"/>
        <w:spacing w:after="0" w:line="388" w:lineRule="exact"/>
        <w:rPr>
          <w:sz w:val="20"/>
          <w:szCs w:val="20"/>
          <w:color w:val="auto"/>
        </w:rPr>
      </w:pPr>
      <w:r>
        <w:rPr>
          <w:rFonts w:ascii="Arial" w:cs="Arial" w:eastAsia="Arial" w:hAnsi="Arial"/>
          <w:sz w:val="32"/>
          <w:szCs w:val="32"/>
          <w:color w:val="auto"/>
        </w:rPr>
        <w:t>3)</w:t>
      </w:r>
      <w:r>
        <w:rPr>
          <w:rFonts w:ascii="宋体" w:cs="宋体" w:eastAsia="宋体" w:hAnsi="宋体"/>
          <w:sz w:val="32"/>
          <w:szCs w:val="32"/>
          <w:color w:val="auto"/>
        </w:rPr>
        <w:t>损余物资应当具体说明如何确定完好程度。</w:t>
      </w:r>
    </w:p>
    <w:p>
      <w:pPr>
        <w:sectPr>
          <w:pgSz w:w="11900" w:h="16838" w:orient="portrait"/>
          <w:cols w:equalWidth="0" w:num="1">
            <w:col w:w="9026"/>
          </w:cols>
          <w:pgMar w:left="1440" w:top="1440" w:right="1440" w:bottom="1440" w:gutter="0" w:footer="0" w:header="0"/>
        </w:sectPr>
      </w:pPr>
    </w:p>
    <w:bookmarkStart w:id="46" w:name="page47"/>
    <w:bookmarkEnd w:id="46"/>
    <w:p>
      <w:pPr>
        <w:spacing w:after="0" w:line="81" w:lineRule="exact"/>
        <w:rPr>
          <w:sz w:val="20"/>
          <w:szCs w:val="20"/>
          <w:color w:val="auto"/>
        </w:rPr>
      </w:pPr>
    </w:p>
    <w:p>
      <w:pPr>
        <w:ind w:left="1000"/>
        <w:spacing w:after="0" w:line="388" w:lineRule="exact"/>
        <w:rPr>
          <w:sz w:val="20"/>
          <w:szCs w:val="20"/>
          <w:color w:val="auto"/>
        </w:rPr>
      </w:pPr>
      <w:r>
        <w:rPr>
          <w:rFonts w:ascii="Arial" w:cs="Arial" w:eastAsia="Arial" w:hAnsi="Arial"/>
          <w:sz w:val="32"/>
          <w:szCs w:val="32"/>
          <w:color w:val="auto"/>
        </w:rPr>
        <w:t>4)</w:t>
      </w:r>
      <w:r>
        <w:rPr>
          <w:rFonts w:ascii="宋体" w:cs="宋体" w:eastAsia="宋体" w:hAnsi="宋体"/>
          <w:sz w:val="32"/>
          <w:szCs w:val="32"/>
          <w:color w:val="auto"/>
        </w:rPr>
        <w:t>对于存在失效、变质、残损、无用的损余物资，应当</w:t>
      </w:r>
    </w:p>
    <w:p>
      <w:pPr>
        <w:spacing w:after="0" w:line="271" w:lineRule="exact"/>
        <w:rPr>
          <w:sz w:val="20"/>
          <w:szCs w:val="20"/>
          <w:color w:val="auto"/>
        </w:rPr>
      </w:pPr>
    </w:p>
    <w:p>
      <w:pPr>
        <w:ind w:left="360"/>
        <w:spacing w:after="0" w:line="354" w:lineRule="exact"/>
        <w:rPr>
          <w:sz w:val="20"/>
          <w:szCs w:val="20"/>
          <w:color w:val="auto"/>
        </w:rPr>
      </w:pPr>
      <w:r>
        <w:rPr>
          <w:rFonts w:ascii="宋体" w:cs="宋体" w:eastAsia="宋体" w:hAnsi="宋体"/>
          <w:sz w:val="31"/>
          <w:szCs w:val="31"/>
          <w:color w:val="auto"/>
        </w:rPr>
        <w:t>说明对其价值的影响程度，需要技术鉴定的，应当说明鉴定</w:t>
      </w:r>
    </w:p>
    <w:p>
      <w:pPr>
        <w:spacing w:after="0" w:line="259"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方法及鉴定结论。</w:t>
      </w:r>
    </w:p>
    <w:p>
      <w:pPr>
        <w:spacing w:after="0" w:line="236" w:lineRule="exact"/>
        <w:rPr>
          <w:sz w:val="20"/>
          <w:szCs w:val="20"/>
          <w:color w:val="auto"/>
        </w:rPr>
      </w:pPr>
    </w:p>
    <w:p>
      <w:pPr>
        <w:ind w:left="1000"/>
        <w:spacing w:after="0" w:line="388" w:lineRule="exact"/>
        <w:rPr>
          <w:sz w:val="20"/>
          <w:szCs w:val="20"/>
          <w:color w:val="auto"/>
        </w:rPr>
      </w:pPr>
      <w:r>
        <w:rPr>
          <w:rFonts w:ascii="Arial" w:cs="Arial" w:eastAsia="Arial" w:hAnsi="Arial"/>
          <w:sz w:val="32"/>
          <w:szCs w:val="32"/>
          <w:color w:val="auto"/>
        </w:rPr>
        <w:t>5)</w:t>
      </w:r>
      <w:r>
        <w:rPr>
          <w:rFonts w:ascii="宋体" w:cs="宋体" w:eastAsia="宋体" w:hAnsi="宋体"/>
          <w:sz w:val="32"/>
          <w:szCs w:val="32"/>
          <w:color w:val="auto"/>
        </w:rPr>
        <w:t>损余物资评估值的确定方法和结论。</w:t>
      </w:r>
    </w:p>
    <w:p>
      <w:pPr>
        <w:spacing w:after="0" w:line="236" w:lineRule="exact"/>
        <w:rPr>
          <w:sz w:val="20"/>
          <w:szCs w:val="20"/>
          <w:color w:val="auto"/>
        </w:rPr>
      </w:pPr>
    </w:p>
    <w:p>
      <w:pPr>
        <w:ind w:left="1000"/>
        <w:spacing w:after="0" w:line="388" w:lineRule="exact"/>
        <w:rPr>
          <w:sz w:val="20"/>
          <w:szCs w:val="20"/>
          <w:color w:val="auto"/>
        </w:rPr>
      </w:pPr>
      <w:r>
        <w:rPr>
          <w:rFonts w:ascii="宋体" w:cs="宋体" w:eastAsia="宋体" w:hAnsi="宋体"/>
          <w:sz w:val="32"/>
          <w:szCs w:val="32"/>
          <w:color w:val="auto"/>
        </w:rPr>
        <w:t>（</w:t>
      </w:r>
      <w:r>
        <w:rPr>
          <w:rFonts w:ascii="Arial" w:cs="Arial" w:eastAsia="Arial" w:hAnsi="Arial"/>
          <w:sz w:val="32"/>
          <w:szCs w:val="32"/>
          <w:color w:val="auto"/>
        </w:rPr>
        <w:t>4</w:t>
      </w:r>
      <w:r>
        <w:rPr>
          <w:rFonts w:ascii="宋体" w:cs="宋体" w:eastAsia="宋体" w:hAnsi="宋体"/>
          <w:sz w:val="32"/>
          <w:szCs w:val="32"/>
          <w:color w:val="auto"/>
        </w:rPr>
        <w:t>）上述资产以外的其他资产</w:t>
      </w:r>
    </w:p>
    <w:p>
      <w:pPr>
        <w:spacing w:after="0" w:line="236" w:lineRule="exact"/>
        <w:rPr>
          <w:sz w:val="20"/>
          <w:szCs w:val="20"/>
          <w:color w:val="auto"/>
        </w:rPr>
      </w:pPr>
    </w:p>
    <w:p>
      <w:pPr>
        <w:ind w:left="1000"/>
        <w:spacing w:after="0" w:line="388" w:lineRule="exact"/>
        <w:rPr>
          <w:sz w:val="20"/>
          <w:szCs w:val="20"/>
          <w:color w:val="auto"/>
        </w:rPr>
      </w:pPr>
      <w:r>
        <w:rPr>
          <w:rFonts w:ascii="Arial" w:cs="Arial" w:eastAsia="Arial" w:hAnsi="Arial"/>
          <w:sz w:val="32"/>
          <w:szCs w:val="32"/>
          <w:color w:val="auto"/>
        </w:rPr>
        <w:t>1)</w:t>
      </w:r>
      <w:r>
        <w:rPr>
          <w:rFonts w:ascii="宋体" w:cs="宋体" w:eastAsia="宋体" w:hAnsi="宋体"/>
          <w:sz w:val="32"/>
          <w:szCs w:val="32"/>
          <w:color w:val="auto"/>
        </w:rPr>
        <w:t>其他资产的内容、种类及形成原因等。</w:t>
      </w:r>
    </w:p>
    <w:p>
      <w:pPr>
        <w:spacing w:after="0" w:line="236" w:lineRule="exact"/>
        <w:rPr>
          <w:sz w:val="20"/>
          <w:szCs w:val="20"/>
          <w:color w:val="auto"/>
        </w:rPr>
      </w:pPr>
    </w:p>
    <w:p>
      <w:pPr>
        <w:ind w:left="1000"/>
        <w:spacing w:after="0" w:line="388" w:lineRule="exact"/>
        <w:rPr>
          <w:sz w:val="20"/>
          <w:szCs w:val="20"/>
          <w:color w:val="auto"/>
        </w:rPr>
      </w:pPr>
      <w:r>
        <w:rPr>
          <w:rFonts w:ascii="Arial" w:cs="Arial" w:eastAsia="Arial" w:hAnsi="Arial"/>
          <w:sz w:val="32"/>
          <w:szCs w:val="32"/>
          <w:color w:val="auto"/>
        </w:rPr>
        <w:t>2)</w:t>
      </w:r>
      <w:r>
        <w:rPr>
          <w:rFonts w:ascii="宋体" w:cs="宋体" w:eastAsia="宋体" w:hAnsi="宋体"/>
          <w:sz w:val="32"/>
          <w:szCs w:val="32"/>
          <w:color w:val="auto"/>
        </w:rPr>
        <w:t>其他资产核实的方法和结论。</w:t>
      </w:r>
    </w:p>
    <w:p>
      <w:pPr>
        <w:spacing w:after="0" w:line="237" w:lineRule="exact"/>
        <w:rPr>
          <w:sz w:val="20"/>
          <w:szCs w:val="20"/>
          <w:color w:val="auto"/>
        </w:rPr>
      </w:pPr>
    </w:p>
    <w:p>
      <w:pPr>
        <w:ind w:left="1000"/>
        <w:spacing w:after="0" w:line="388" w:lineRule="exact"/>
        <w:rPr>
          <w:sz w:val="20"/>
          <w:szCs w:val="20"/>
          <w:color w:val="auto"/>
        </w:rPr>
      </w:pPr>
      <w:r>
        <w:rPr>
          <w:rFonts w:ascii="Arial" w:cs="Arial" w:eastAsia="Arial" w:hAnsi="Arial"/>
          <w:sz w:val="32"/>
          <w:szCs w:val="32"/>
          <w:color w:val="auto"/>
        </w:rPr>
        <w:t>3)</w:t>
      </w:r>
      <w:r>
        <w:rPr>
          <w:rFonts w:ascii="宋体" w:cs="宋体" w:eastAsia="宋体" w:hAnsi="宋体"/>
          <w:sz w:val="32"/>
          <w:szCs w:val="32"/>
          <w:color w:val="auto"/>
        </w:rPr>
        <w:t>其他资产评估值的确定方法和结论。</w:t>
      </w:r>
    </w:p>
    <w:p>
      <w:pPr>
        <w:spacing w:after="0" w:line="236" w:lineRule="exact"/>
        <w:rPr>
          <w:sz w:val="20"/>
          <w:szCs w:val="20"/>
          <w:color w:val="auto"/>
        </w:rPr>
      </w:pPr>
    </w:p>
    <w:p>
      <w:pPr>
        <w:ind w:left="1000"/>
        <w:spacing w:after="0" w:line="388" w:lineRule="exact"/>
        <w:rPr>
          <w:sz w:val="20"/>
          <w:szCs w:val="20"/>
          <w:color w:val="auto"/>
        </w:rPr>
      </w:pPr>
      <w:r>
        <w:rPr>
          <w:rFonts w:ascii="Arial" w:cs="Arial" w:eastAsia="Arial" w:hAnsi="Arial"/>
          <w:sz w:val="32"/>
          <w:szCs w:val="32"/>
          <w:color w:val="auto"/>
        </w:rPr>
        <w:t>10</w:t>
      </w:r>
      <w:r>
        <w:rPr>
          <w:rFonts w:ascii="宋体" w:cs="宋体" w:eastAsia="宋体" w:hAnsi="宋体"/>
          <w:sz w:val="32"/>
          <w:szCs w:val="32"/>
          <w:color w:val="auto"/>
        </w:rPr>
        <w:t>．短期借款</w:t>
      </w:r>
    </w:p>
    <w:p>
      <w:pPr>
        <w:spacing w:after="0" w:line="236" w:lineRule="exact"/>
        <w:rPr>
          <w:sz w:val="20"/>
          <w:szCs w:val="20"/>
          <w:color w:val="auto"/>
        </w:rPr>
      </w:pPr>
    </w:p>
    <w:p>
      <w:pPr>
        <w:ind w:left="1000"/>
        <w:spacing w:after="0" w:line="388" w:lineRule="exact"/>
        <w:rPr>
          <w:sz w:val="20"/>
          <w:szCs w:val="20"/>
          <w:color w:val="auto"/>
        </w:rPr>
      </w:pPr>
      <w:r>
        <w:rPr>
          <w:rFonts w:ascii="宋体" w:cs="宋体" w:eastAsia="宋体" w:hAnsi="宋体"/>
          <w:sz w:val="32"/>
          <w:szCs w:val="32"/>
          <w:color w:val="auto"/>
        </w:rPr>
        <w:t>（</w:t>
      </w:r>
      <w:r>
        <w:rPr>
          <w:rFonts w:ascii="Arial" w:cs="Arial" w:eastAsia="Arial" w:hAnsi="Arial"/>
          <w:sz w:val="32"/>
          <w:szCs w:val="32"/>
          <w:color w:val="auto"/>
        </w:rPr>
        <w:t>1</w:t>
      </w:r>
      <w:r>
        <w:rPr>
          <w:rFonts w:ascii="宋体" w:cs="宋体" w:eastAsia="宋体" w:hAnsi="宋体"/>
          <w:sz w:val="32"/>
          <w:szCs w:val="32"/>
          <w:color w:val="auto"/>
        </w:rPr>
        <w:t>）借款的金额、发生日期、放贷银行名称、还款期</w:t>
      </w:r>
    </w:p>
    <w:p>
      <w:pPr>
        <w:spacing w:after="0" w:line="259"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限、贷款利率以及抵（质）押情况。</w:t>
      </w:r>
    </w:p>
    <w:p>
      <w:pPr>
        <w:spacing w:after="0" w:line="236" w:lineRule="exact"/>
        <w:rPr>
          <w:sz w:val="20"/>
          <w:szCs w:val="20"/>
          <w:color w:val="auto"/>
        </w:rPr>
      </w:pPr>
    </w:p>
    <w:p>
      <w:pPr>
        <w:ind w:left="1000"/>
        <w:spacing w:after="0" w:line="388" w:lineRule="exact"/>
        <w:rPr>
          <w:sz w:val="20"/>
          <w:szCs w:val="20"/>
          <w:color w:val="auto"/>
        </w:rPr>
      </w:pPr>
      <w:r>
        <w:rPr>
          <w:rFonts w:ascii="宋体" w:cs="宋体" w:eastAsia="宋体" w:hAnsi="宋体"/>
          <w:sz w:val="32"/>
          <w:szCs w:val="32"/>
          <w:color w:val="auto"/>
        </w:rPr>
        <w:t>（</w:t>
      </w:r>
      <w:r>
        <w:rPr>
          <w:rFonts w:ascii="Arial" w:cs="Arial" w:eastAsia="Arial" w:hAnsi="Arial"/>
          <w:sz w:val="32"/>
          <w:szCs w:val="32"/>
          <w:color w:val="auto"/>
        </w:rPr>
        <w:t>2</w:t>
      </w:r>
      <w:r>
        <w:rPr>
          <w:rFonts w:ascii="宋体" w:cs="宋体" w:eastAsia="宋体" w:hAnsi="宋体"/>
          <w:sz w:val="32"/>
          <w:szCs w:val="32"/>
          <w:color w:val="auto"/>
        </w:rPr>
        <w:t>）借款的函证情况。</w:t>
      </w:r>
    </w:p>
    <w:p>
      <w:pPr>
        <w:spacing w:after="0" w:line="236" w:lineRule="exact"/>
        <w:rPr>
          <w:sz w:val="20"/>
          <w:szCs w:val="20"/>
          <w:color w:val="auto"/>
        </w:rPr>
      </w:pPr>
    </w:p>
    <w:p>
      <w:pPr>
        <w:ind w:left="1000"/>
        <w:spacing w:after="0" w:line="388" w:lineRule="exact"/>
        <w:rPr>
          <w:sz w:val="20"/>
          <w:szCs w:val="20"/>
          <w:color w:val="auto"/>
        </w:rPr>
      </w:pPr>
      <w:r>
        <w:rPr>
          <w:rFonts w:ascii="宋体" w:cs="宋体" w:eastAsia="宋体" w:hAnsi="宋体"/>
          <w:sz w:val="32"/>
          <w:szCs w:val="32"/>
          <w:color w:val="auto"/>
        </w:rPr>
        <w:t>（</w:t>
      </w:r>
      <w:r>
        <w:rPr>
          <w:rFonts w:ascii="Arial" w:cs="Arial" w:eastAsia="Arial" w:hAnsi="Arial"/>
          <w:sz w:val="32"/>
          <w:szCs w:val="32"/>
          <w:color w:val="auto"/>
        </w:rPr>
        <w:t>3</w:t>
      </w:r>
      <w:r>
        <w:rPr>
          <w:rFonts w:ascii="宋体" w:cs="宋体" w:eastAsia="宋体" w:hAnsi="宋体"/>
          <w:sz w:val="32"/>
          <w:szCs w:val="32"/>
          <w:color w:val="auto"/>
        </w:rPr>
        <w:t>）利息结算、支付情况，并说明利息支付情况对评</w:t>
      </w:r>
    </w:p>
    <w:p>
      <w:pPr>
        <w:spacing w:after="0" w:line="259"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估值的影响。</w:t>
      </w:r>
    </w:p>
    <w:p>
      <w:pPr>
        <w:spacing w:after="0" w:line="236" w:lineRule="exact"/>
        <w:rPr>
          <w:sz w:val="20"/>
          <w:szCs w:val="20"/>
          <w:color w:val="auto"/>
        </w:rPr>
      </w:pPr>
    </w:p>
    <w:p>
      <w:pPr>
        <w:ind w:left="1000"/>
        <w:spacing w:after="0" w:line="388" w:lineRule="exact"/>
        <w:rPr>
          <w:sz w:val="20"/>
          <w:szCs w:val="20"/>
          <w:color w:val="auto"/>
        </w:rPr>
      </w:pPr>
      <w:r>
        <w:rPr>
          <w:rFonts w:ascii="宋体" w:cs="宋体" w:eastAsia="宋体" w:hAnsi="宋体"/>
          <w:sz w:val="32"/>
          <w:szCs w:val="32"/>
          <w:color w:val="auto"/>
        </w:rPr>
        <w:t>（</w:t>
      </w:r>
      <w:r>
        <w:rPr>
          <w:rFonts w:ascii="Arial" w:cs="Arial" w:eastAsia="Arial" w:hAnsi="Arial"/>
          <w:sz w:val="32"/>
          <w:szCs w:val="32"/>
          <w:color w:val="auto"/>
        </w:rPr>
        <w:t>4</w:t>
      </w:r>
      <w:r>
        <w:rPr>
          <w:rFonts w:ascii="宋体" w:cs="宋体" w:eastAsia="宋体" w:hAnsi="宋体"/>
          <w:sz w:val="32"/>
          <w:szCs w:val="32"/>
          <w:color w:val="auto"/>
        </w:rPr>
        <w:t>）短期借款评估值的确定方法和结论。</w:t>
      </w:r>
    </w:p>
    <w:p>
      <w:pPr>
        <w:spacing w:after="0" w:line="236" w:lineRule="exact"/>
        <w:rPr>
          <w:sz w:val="20"/>
          <w:szCs w:val="20"/>
          <w:color w:val="auto"/>
        </w:rPr>
      </w:pPr>
    </w:p>
    <w:p>
      <w:pPr>
        <w:ind w:left="1000"/>
        <w:spacing w:after="0" w:line="388" w:lineRule="exact"/>
        <w:rPr>
          <w:sz w:val="20"/>
          <w:szCs w:val="20"/>
          <w:color w:val="auto"/>
        </w:rPr>
      </w:pPr>
      <w:r>
        <w:rPr>
          <w:rFonts w:ascii="Arial" w:cs="Arial" w:eastAsia="Arial" w:hAnsi="Arial"/>
          <w:sz w:val="32"/>
          <w:szCs w:val="32"/>
          <w:color w:val="auto"/>
        </w:rPr>
        <w:t>11</w:t>
      </w:r>
      <w:r>
        <w:rPr>
          <w:rFonts w:ascii="宋体" w:cs="宋体" w:eastAsia="宋体" w:hAnsi="宋体"/>
          <w:sz w:val="32"/>
          <w:szCs w:val="32"/>
          <w:color w:val="auto"/>
        </w:rPr>
        <w:t>．预收保费</w:t>
      </w:r>
    </w:p>
    <w:p>
      <w:pPr>
        <w:spacing w:after="0" w:line="236" w:lineRule="exact"/>
        <w:rPr>
          <w:sz w:val="20"/>
          <w:szCs w:val="20"/>
          <w:color w:val="auto"/>
        </w:rPr>
      </w:pPr>
    </w:p>
    <w:p>
      <w:pPr>
        <w:ind w:left="1000"/>
        <w:spacing w:after="0" w:line="388" w:lineRule="exact"/>
        <w:rPr>
          <w:sz w:val="20"/>
          <w:szCs w:val="20"/>
          <w:color w:val="auto"/>
        </w:rPr>
      </w:pPr>
      <w:r>
        <w:rPr>
          <w:rFonts w:ascii="宋体" w:cs="宋体" w:eastAsia="宋体" w:hAnsi="宋体"/>
          <w:sz w:val="32"/>
          <w:szCs w:val="32"/>
          <w:color w:val="auto"/>
        </w:rPr>
        <w:t>（</w:t>
      </w:r>
      <w:r>
        <w:rPr>
          <w:rFonts w:ascii="Arial" w:cs="Arial" w:eastAsia="Arial" w:hAnsi="Arial"/>
          <w:sz w:val="32"/>
          <w:szCs w:val="32"/>
          <w:color w:val="auto"/>
        </w:rPr>
        <w:t>1</w:t>
      </w:r>
      <w:r>
        <w:rPr>
          <w:rFonts w:ascii="宋体" w:cs="宋体" w:eastAsia="宋体" w:hAnsi="宋体"/>
          <w:sz w:val="32"/>
          <w:szCs w:val="32"/>
          <w:color w:val="auto"/>
        </w:rPr>
        <w:t>）预收保费的主要业务内容、发生日期。</w:t>
      </w:r>
    </w:p>
    <w:p>
      <w:pPr>
        <w:spacing w:after="0" w:line="236" w:lineRule="exact"/>
        <w:rPr>
          <w:sz w:val="20"/>
          <w:szCs w:val="20"/>
          <w:color w:val="auto"/>
        </w:rPr>
      </w:pPr>
    </w:p>
    <w:p>
      <w:pPr>
        <w:ind w:left="1000"/>
        <w:spacing w:after="0" w:line="388" w:lineRule="exact"/>
        <w:rPr>
          <w:sz w:val="20"/>
          <w:szCs w:val="20"/>
          <w:color w:val="auto"/>
        </w:rPr>
      </w:pPr>
      <w:r>
        <w:rPr>
          <w:rFonts w:ascii="宋体" w:cs="宋体" w:eastAsia="宋体" w:hAnsi="宋体"/>
          <w:sz w:val="32"/>
          <w:szCs w:val="32"/>
          <w:color w:val="auto"/>
        </w:rPr>
        <w:t>（</w:t>
      </w:r>
      <w:r>
        <w:rPr>
          <w:rFonts w:ascii="Arial" w:cs="Arial" w:eastAsia="Arial" w:hAnsi="Arial"/>
          <w:sz w:val="32"/>
          <w:szCs w:val="32"/>
          <w:color w:val="auto"/>
        </w:rPr>
        <w:t>2</w:t>
      </w:r>
      <w:r>
        <w:rPr>
          <w:rFonts w:ascii="宋体" w:cs="宋体" w:eastAsia="宋体" w:hAnsi="宋体"/>
          <w:sz w:val="32"/>
          <w:szCs w:val="32"/>
          <w:color w:val="auto"/>
        </w:rPr>
        <w:t>）预收保费核实的方法和结论。</w:t>
      </w:r>
    </w:p>
    <w:p>
      <w:pPr>
        <w:spacing w:after="0" w:line="236" w:lineRule="exact"/>
        <w:rPr>
          <w:sz w:val="20"/>
          <w:szCs w:val="20"/>
          <w:color w:val="auto"/>
        </w:rPr>
      </w:pPr>
    </w:p>
    <w:p>
      <w:pPr>
        <w:ind w:left="1000"/>
        <w:spacing w:after="0" w:line="388" w:lineRule="exact"/>
        <w:rPr>
          <w:sz w:val="20"/>
          <w:szCs w:val="20"/>
          <w:color w:val="auto"/>
        </w:rPr>
      </w:pPr>
      <w:r>
        <w:rPr>
          <w:rFonts w:ascii="宋体" w:cs="宋体" w:eastAsia="宋体" w:hAnsi="宋体"/>
          <w:sz w:val="32"/>
          <w:szCs w:val="32"/>
          <w:color w:val="auto"/>
        </w:rPr>
        <w:t>（</w:t>
      </w:r>
      <w:r>
        <w:rPr>
          <w:rFonts w:ascii="Arial" w:cs="Arial" w:eastAsia="Arial" w:hAnsi="Arial"/>
          <w:sz w:val="32"/>
          <w:szCs w:val="32"/>
          <w:color w:val="auto"/>
        </w:rPr>
        <w:t>3</w:t>
      </w:r>
      <w:r>
        <w:rPr>
          <w:rFonts w:ascii="宋体" w:cs="宋体" w:eastAsia="宋体" w:hAnsi="宋体"/>
          <w:sz w:val="32"/>
          <w:szCs w:val="32"/>
          <w:color w:val="auto"/>
        </w:rPr>
        <w:t>）预收保费评估值的确定方法和结论。</w:t>
      </w:r>
    </w:p>
    <w:p>
      <w:pPr>
        <w:spacing w:after="0" w:line="237" w:lineRule="exact"/>
        <w:rPr>
          <w:sz w:val="20"/>
          <w:szCs w:val="20"/>
          <w:color w:val="auto"/>
        </w:rPr>
      </w:pPr>
    </w:p>
    <w:p>
      <w:pPr>
        <w:ind w:left="1000"/>
        <w:spacing w:after="0" w:line="388" w:lineRule="exact"/>
        <w:rPr>
          <w:sz w:val="20"/>
          <w:szCs w:val="20"/>
          <w:color w:val="auto"/>
        </w:rPr>
      </w:pPr>
      <w:r>
        <w:rPr>
          <w:rFonts w:ascii="Arial" w:cs="Arial" w:eastAsia="Arial" w:hAnsi="Arial"/>
          <w:sz w:val="32"/>
          <w:szCs w:val="32"/>
          <w:color w:val="auto"/>
        </w:rPr>
        <w:t>12.</w:t>
      </w:r>
      <w:r>
        <w:rPr>
          <w:rFonts w:ascii="宋体" w:cs="宋体" w:eastAsia="宋体" w:hAnsi="宋体"/>
          <w:sz w:val="32"/>
          <w:szCs w:val="32"/>
          <w:color w:val="auto"/>
        </w:rPr>
        <w:t>应付手续费及佣金</w:t>
      </w:r>
    </w:p>
    <w:p>
      <w:pPr>
        <w:spacing w:after="0" w:line="236" w:lineRule="exact"/>
        <w:rPr>
          <w:sz w:val="20"/>
          <w:szCs w:val="20"/>
          <w:color w:val="auto"/>
        </w:rPr>
      </w:pPr>
    </w:p>
    <w:p>
      <w:pPr>
        <w:ind w:left="1000"/>
        <w:spacing w:after="0" w:line="388" w:lineRule="exact"/>
        <w:rPr>
          <w:sz w:val="20"/>
          <w:szCs w:val="20"/>
          <w:color w:val="auto"/>
        </w:rPr>
      </w:pPr>
      <w:r>
        <w:rPr>
          <w:rFonts w:ascii="宋体" w:cs="宋体" w:eastAsia="宋体" w:hAnsi="宋体"/>
          <w:sz w:val="32"/>
          <w:szCs w:val="32"/>
          <w:color w:val="auto"/>
        </w:rPr>
        <w:t>（</w:t>
      </w:r>
      <w:r>
        <w:rPr>
          <w:rFonts w:ascii="Arial" w:cs="Arial" w:eastAsia="Arial" w:hAnsi="Arial"/>
          <w:sz w:val="32"/>
          <w:szCs w:val="32"/>
          <w:color w:val="auto"/>
        </w:rPr>
        <w:t>1</w:t>
      </w:r>
      <w:r>
        <w:rPr>
          <w:rFonts w:ascii="宋体" w:cs="宋体" w:eastAsia="宋体" w:hAnsi="宋体"/>
          <w:sz w:val="32"/>
          <w:szCs w:val="32"/>
          <w:color w:val="auto"/>
        </w:rPr>
        <w:t>）应付手续费及佣金的主要业务内容、发生日期。</w:t>
      </w:r>
    </w:p>
    <w:p>
      <w:pPr>
        <w:spacing w:after="0" w:line="236" w:lineRule="exact"/>
        <w:rPr>
          <w:sz w:val="20"/>
          <w:szCs w:val="20"/>
          <w:color w:val="auto"/>
        </w:rPr>
      </w:pPr>
    </w:p>
    <w:p>
      <w:pPr>
        <w:ind w:left="1000"/>
        <w:spacing w:after="0" w:line="388" w:lineRule="exact"/>
        <w:rPr>
          <w:sz w:val="20"/>
          <w:szCs w:val="20"/>
          <w:color w:val="auto"/>
        </w:rPr>
      </w:pPr>
      <w:r>
        <w:rPr>
          <w:rFonts w:ascii="宋体" w:cs="宋体" w:eastAsia="宋体" w:hAnsi="宋体"/>
          <w:sz w:val="32"/>
          <w:szCs w:val="32"/>
          <w:color w:val="auto"/>
        </w:rPr>
        <w:t>（</w:t>
      </w:r>
      <w:r>
        <w:rPr>
          <w:rFonts w:ascii="Arial" w:cs="Arial" w:eastAsia="Arial" w:hAnsi="Arial"/>
          <w:sz w:val="32"/>
          <w:szCs w:val="32"/>
          <w:color w:val="auto"/>
        </w:rPr>
        <w:t>2</w:t>
      </w:r>
      <w:r>
        <w:rPr>
          <w:rFonts w:ascii="宋体" w:cs="宋体" w:eastAsia="宋体" w:hAnsi="宋体"/>
          <w:sz w:val="32"/>
          <w:szCs w:val="32"/>
          <w:color w:val="auto"/>
        </w:rPr>
        <w:t>）应付手续费及佣金核实的方法和结论。</w:t>
      </w:r>
    </w:p>
    <w:p>
      <w:pPr>
        <w:sectPr>
          <w:pgSz w:w="11900" w:h="16838" w:orient="portrait"/>
          <w:cols w:equalWidth="0" w:num="1">
            <w:col w:w="9026"/>
          </w:cols>
          <w:pgMar w:left="1440" w:top="1440" w:right="1440" w:bottom="1440" w:gutter="0" w:footer="0" w:header="0"/>
        </w:sectPr>
      </w:pPr>
    </w:p>
    <w:bookmarkStart w:id="47" w:name="page48"/>
    <w:bookmarkEnd w:id="47"/>
    <w:p>
      <w:pPr>
        <w:spacing w:after="0" w:line="81" w:lineRule="exact"/>
        <w:rPr>
          <w:sz w:val="20"/>
          <w:szCs w:val="20"/>
          <w:color w:val="auto"/>
        </w:rPr>
      </w:pPr>
    </w:p>
    <w:p>
      <w:pPr>
        <w:ind w:left="1000"/>
        <w:spacing w:after="0" w:line="388" w:lineRule="exact"/>
        <w:rPr>
          <w:sz w:val="20"/>
          <w:szCs w:val="20"/>
          <w:color w:val="auto"/>
        </w:rPr>
      </w:pPr>
      <w:r>
        <w:rPr>
          <w:rFonts w:ascii="宋体" w:cs="宋体" w:eastAsia="宋体" w:hAnsi="宋体"/>
          <w:sz w:val="32"/>
          <w:szCs w:val="32"/>
          <w:color w:val="auto"/>
        </w:rPr>
        <w:t>（</w:t>
      </w:r>
      <w:r>
        <w:rPr>
          <w:rFonts w:ascii="Arial" w:cs="Arial" w:eastAsia="Arial" w:hAnsi="Arial"/>
          <w:sz w:val="32"/>
          <w:szCs w:val="32"/>
          <w:color w:val="auto"/>
        </w:rPr>
        <w:t>3</w:t>
      </w:r>
      <w:r>
        <w:rPr>
          <w:rFonts w:ascii="宋体" w:cs="宋体" w:eastAsia="宋体" w:hAnsi="宋体"/>
          <w:sz w:val="32"/>
          <w:szCs w:val="32"/>
          <w:color w:val="auto"/>
        </w:rPr>
        <w:t>）应付手续费及佣金评估值的确定方法和结论。</w:t>
      </w:r>
    </w:p>
    <w:p>
      <w:pPr>
        <w:spacing w:after="0" w:line="237" w:lineRule="exact"/>
        <w:rPr>
          <w:sz w:val="20"/>
          <w:szCs w:val="20"/>
          <w:color w:val="auto"/>
        </w:rPr>
      </w:pPr>
    </w:p>
    <w:p>
      <w:pPr>
        <w:ind w:left="1000"/>
        <w:spacing w:after="0" w:line="388" w:lineRule="exact"/>
        <w:rPr>
          <w:sz w:val="20"/>
          <w:szCs w:val="20"/>
          <w:color w:val="auto"/>
        </w:rPr>
      </w:pPr>
      <w:r>
        <w:rPr>
          <w:rFonts w:ascii="Arial" w:cs="Arial" w:eastAsia="Arial" w:hAnsi="Arial"/>
          <w:sz w:val="32"/>
          <w:szCs w:val="32"/>
          <w:color w:val="auto"/>
        </w:rPr>
        <w:t>13.</w:t>
      </w:r>
      <w:r>
        <w:rPr>
          <w:rFonts w:ascii="宋体" w:cs="宋体" w:eastAsia="宋体" w:hAnsi="宋体"/>
          <w:sz w:val="32"/>
          <w:szCs w:val="32"/>
          <w:color w:val="auto"/>
        </w:rPr>
        <w:t>应付分保账款</w:t>
      </w:r>
    </w:p>
    <w:p>
      <w:pPr>
        <w:spacing w:after="0" w:line="236" w:lineRule="exact"/>
        <w:rPr>
          <w:sz w:val="20"/>
          <w:szCs w:val="20"/>
          <w:color w:val="auto"/>
        </w:rPr>
      </w:pPr>
    </w:p>
    <w:p>
      <w:pPr>
        <w:ind w:left="1000"/>
        <w:spacing w:after="0" w:line="388" w:lineRule="exact"/>
        <w:rPr>
          <w:sz w:val="20"/>
          <w:szCs w:val="20"/>
          <w:color w:val="auto"/>
        </w:rPr>
      </w:pPr>
      <w:r>
        <w:rPr>
          <w:rFonts w:ascii="宋体" w:cs="宋体" w:eastAsia="宋体" w:hAnsi="宋体"/>
          <w:sz w:val="32"/>
          <w:szCs w:val="32"/>
          <w:color w:val="auto"/>
        </w:rPr>
        <w:t>（</w:t>
      </w:r>
      <w:r>
        <w:rPr>
          <w:rFonts w:ascii="Arial" w:cs="Arial" w:eastAsia="Arial" w:hAnsi="Arial"/>
          <w:sz w:val="32"/>
          <w:szCs w:val="32"/>
          <w:color w:val="auto"/>
        </w:rPr>
        <w:t>1</w:t>
      </w:r>
      <w:r>
        <w:rPr>
          <w:rFonts w:ascii="宋体" w:cs="宋体" w:eastAsia="宋体" w:hAnsi="宋体"/>
          <w:sz w:val="32"/>
          <w:szCs w:val="32"/>
          <w:color w:val="auto"/>
        </w:rPr>
        <w:t>）应付分保账款的主要业务内容、发生日期。</w:t>
      </w:r>
    </w:p>
    <w:p>
      <w:pPr>
        <w:spacing w:after="0" w:line="236" w:lineRule="exact"/>
        <w:rPr>
          <w:sz w:val="20"/>
          <w:szCs w:val="20"/>
          <w:color w:val="auto"/>
        </w:rPr>
      </w:pPr>
    </w:p>
    <w:p>
      <w:pPr>
        <w:ind w:left="1000"/>
        <w:spacing w:after="0" w:line="388" w:lineRule="exact"/>
        <w:rPr>
          <w:sz w:val="20"/>
          <w:szCs w:val="20"/>
          <w:color w:val="auto"/>
        </w:rPr>
      </w:pPr>
      <w:r>
        <w:rPr>
          <w:rFonts w:ascii="宋体" w:cs="宋体" w:eastAsia="宋体" w:hAnsi="宋体"/>
          <w:sz w:val="32"/>
          <w:szCs w:val="32"/>
          <w:color w:val="auto"/>
        </w:rPr>
        <w:t>（</w:t>
      </w:r>
      <w:r>
        <w:rPr>
          <w:rFonts w:ascii="Arial" w:cs="Arial" w:eastAsia="Arial" w:hAnsi="Arial"/>
          <w:sz w:val="32"/>
          <w:szCs w:val="32"/>
          <w:color w:val="auto"/>
        </w:rPr>
        <w:t>2</w:t>
      </w:r>
      <w:r>
        <w:rPr>
          <w:rFonts w:ascii="宋体" w:cs="宋体" w:eastAsia="宋体" w:hAnsi="宋体"/>
          <w:sz w:val="32"/>
          <w:szCs w:val="32"/>
          <w:color w:val="auto"/>
        </w:rPr>
        <w:t>）应付分保账款核实的方法和结论。</w:t>
      </w:r>
    </w:p>
    <w:p>
      <w:pPr>
        <w:spacing w:after="0" w:line="236" w:lineRule="exact"/>
        <w:rPr>
          <w:sz w:val="20"/>
          <w:szCs w:val="20"/>
          <w:color w:val="auto"/>
        </w:rPr>
      </w:pPr>
    </w:p>
    <w:p>
      <w:pPr>
        <w:ind w:left="1000"/>
        <w:spacing w:after="0" w:line="388" w:lineRule="exact"/>
        <w:rPr>
          <w:sz w:val="20"/>
          <w:szCs w:val="20"/>
          <w:color w:val="auto"/>
        </w:rPr>
      </w:pPr>
      <w:r>
        <w:rPr>
          <w:rFonts w:ascii="宋体" w:cs="宋体" w:eastAsia="宋体" w:hAnsi="宋体"/>
          <w:sz w:val="32"/>
          <w:szCs w:val="32"/>
          <w:color w:val="auto"/>
        </w:rPr>
        <w:t>（</w:t>
      </w:r>
      <w:r>
        <w:rPr>
          <w:rFonts w:ascii="Arial" w:cs="Arial" w:eastAsia="Arial" w:hAnsi="Arial"/>
          <w:sz w:val="32"/>
          <w:szCs w:val="32"/>
          <w:color w:val="auto"/>
        </w:rPr>
        <w:t>3</w:t>
      </w:r>
      <w:r>
        <w:rPr>
          <w:rFonts w:ascii="宋体" w:cs="宋体" w:eastAsia="宋体" w:hAnsi="宋体"/>
          <w:sz w:val="32"/>
          <w:szCs w:val="32"/>
          <w:color w:val="auto"/>
        </w:rPr>
        <w:t>）应付分保账款评估值的确定方法和结论。</w:t>
      </w:r>
    </w:p>
    <w:p>
      <w:pPr>
        <w:spacing w:after="0" w:line="236" w:lineRule="exact"/>
        <w:rPr>
          <w:sz w:val="20"/>
          <w:szCs w:val="20"/>
          <w:color w:val="auto"/>
        </w:rPr>
      </w:pPr>
    </w:p>
    <w:p>
      <w:pPr>
        <w:ind w:left="1000"/>
        <w:spacing w:after="0" w:line="388" w:lineRule="exact"/>
        <w:rPr>
          <w:sz w:val="20"/>
          <w:szCs w:val="20"/>
          <w:color w:val="auto"/>
        </w:rPr>
      </w:pPr>
      <w:r>
        <w:rPr>
          <w:rFonts w:ascii="Arial" w:cs="Arial" w:eastAsia="Arial" w:hAnsi="Arial"/>
          <w:sz w:val="32"/>
          <w:szCs w:val="32"/>
          <w:color w:val="auto"/>
        </w:rPr>
        <w:t>14.</w:t>
      </w:r>
      <w:r>
        <w:rPr>
          <w:rFonts w:ascii="宋体" w:cs="宋体" w:eastAsia="宋体" w:hAnsi="宋体"/>
          <w:sz w:val="32"/>
          <w:szCs w:val="32"/>
          <w:color w:val="auto"/>
        </w:rPr>
        <w:t>应付赔付款</w:t>
      </w:r>
    </w:p>
    <w:p>
      <w:pPr>
        <w:spacing w:after="0" w:line="236" w:lineRule="exact"/>
        <w:rPr>
          <w:sz w:val="20"/>
          <w:szCs w:val="20"/>
          <w:color w:val="auto"/>
        </w:rPr>
      </w:pPr>
    </w:p>
    <w:p>
      <w:pPr>
        <w:ind w:left="1000"/>
        <w:spacing w:after="0" w:line="388" w:lineRule="exact"/>
        <w:rPr>
          <w:sz w:val="20"/>
          <w:szCs w:val="20"/>
          <w:color w:val="auto"/>
        </w:rPr>
      </w:pPr>
      <w:r>
        <w:rPr>
          <w:rFonts w:ascii="宋体" w:cs="宋体" w:eastAsia="宋体" w:hAnsi="宋体"/>
          <w:sz w:val="32"/>
          <w:szCs w:val="32"/>
          <w:color w:val="auto"/>
        </w:rPr>
        <w:t>（</w:t>
      </w:r>
      <w:r>
        <w:rPr>
          <w:rFonts w:ascii="Arial" w:cs="Arial" w:eastAsia="Arial" w:hAnsi="Arial"/>
          <w:sz w:val="32"/>
          <w:szCs w:val="32"/>
          <w:color w:val="auto"/>
        </w:rPr>
        <w:t>1</w:t>
      </w:r>
      <w:r>
        <w:rPr>
          <w:rFonts w:ascii="宋体" w:cs="宋体" w:eastAsia="宋体" w:hAnsi="宋体"/>
          <w:sz w:val="32"/>
          <w:szCs w:val="32"/>
          <w:color w:val="auto"/>
        </w:rPr>
        <w:t>）应付赔付款的主要业务内容、发生日期。</w:t>
      </w:r>
    </w:p>
    <w:p>
      <w:pPr>
        <w:spacing w:after="0" w:line="237" w:lineRule="exact"/>
        <w:rPr>
          <w:sz w:val="20"/>
          <w:szCs w:val="20"/>
          <w:color w:val="auto"/>
        </w:rPr>
      </w:pPr>
    </w:p>
    <w:p>
      <w:pPr>
        <w:ind w:left="1000"/>
        <w:spacing w:after="0" w:line="388" w:lineRule="exact"/>
        <w:rPr>
          <w:sz w:val="20"/>
          <w:szCs w:val="20"/>
          <w:color w:val="auto"/>
        </w:rPr>
      </w:pPr>
      <w:r>
        <w:rPr>
          <w:rFonts w:ascii="宋体" w:cs="宋体" w:eastAsia="宋体" w:hAnsi="宋体"/>
          <w:sz w:val="32"/>
          <w:szCs w:val="32"/>
          <w:color w:val="auto"/>
        </w:rPr>
        <w:t>（</w:t>
      </w:r>
      <w:r>
        <w:rPr>
          <w:rFonts w:ascii="Arial" w:cs="Arial" w:eastAsia="Arial" w:hAnsi="Arial"/>
          <w:sz w:val="32"/>
          <w:szCs w:val="32"/>
          <w:color w:val="auto"/>
        </w:rPr>
        <w:t>2</w:t>
      </w:r>
      <w:r>
        <w:rPr>
          <w:rFonts w:ascii="宋体" w:cs="宋体" w:eastAsia="宋体" w:hAnsi="宋体"/>
          <w:sz w:val="32"/>
          <w:szCs w:val="32"/>
          <w:color w:val="auto"/>
        </w:rPr>
        <w:t>）应付赔付款核实的方法和结论。</w:t>
      </w:r>
    </w:p>
    <w:p>
      <w:pPr>
        <w:spacing w:after="0" w:line="236" w:lineRule="exact"/>
        <w:rPr>
          <w:sz w:val="20"/>
          <w:szCs w:val="20"/>
          <w:color w:val="auto"/>
        </w:rPr>
      </w:pPr>
    </w:p>
    <w:p>
      <w:pPr>
        <w:ind w:left="1000"/>
        <w:spacing w:after="0" w:line="388" w:lineRule="exact"/>
        <w:rPr>
          <w:sz w:val="20"/>
          <w:szCs w:val="20"/>
          <w:color w:val="auto"/>
        </w:rPr>
      </w:pPr>
      <w:r>
        <w:rPr>
          <w:rFonts w:ascii="宋体" w:cs="宋体" w:eastAsia="宋体" w:hAnsi="宋体"/>
          <w:sz w:val="32"/>
          <w:szCs w:val="32"/>
          <w:color w:val="auto"/>
        </w:rPr>
        <w:t>（</w:t>
      </w:r>
      <w:r>
        <w:rPr>
          <w:rFonts w:ascii="Arial" w:cs="Arial" w:eastAsia="Arial" w:hAnsi="Arial"/>
          <w:sz w:val="32"/>
          <w:szCs w:val="32"/>
          <w:color w:val="auto"/>
        </w:rPr>
        <w:t>3</w:t>
      </w:r>
      <w:r>
        <w:rPr>
          <w:rFonts w:ascii="宋体" w:cs="宋体" w:eastAsia="宋体" w:hAnsi="宋体"/>
          <w:sz w:val="32"/>
          <w:szCs w:val="32"/>
          <w:color w:val="auto"/>
        </w:rPr>
        <w:t>）应付赔付款评估值的确定方法和结论。</w:t>
      </w:r>
    </w:p>
    <w:p>
      <w:pPr>
        <w:spacing w:after="0" w:line="236" w:lineRule="exact"/>
        <w:rPr>
          <w:sz w:val="20"/>
          <w:szCs w:val="20"/>
          <w:color w:val="auto"/>
        </w:rPr>
      </w:pPr>
    </w:p>
    <w:p>
      <w:pPr>
        <w:ind w:left="1000"/>
        <w:spacing w:after="0" w:line="388" w:lineRule="exact"/>
        <w:rPr>
          <w:sz w:val="20"/>
          <w:szCs w:val="20"/>
          <w:color w:val="auto"/>
        </w:rPr>
      </w:pPr>
      <w:r>
        <w:rPr>
          <w:rFonts w:ascii="Arial" w:cs="Arial" w:eastAsia="Arial" w:hAnsi="Arial"/>
          <w:sz w:val="32"/>
          <w:szCs w:val="32"/>
          <w:color w:val="auto"/>
        </w:rPr>
        <w:t>15.</w:t>
      </w:r>
      <w:r>
        <w:rPr>
          <w:rFonts w:ascii="宋体" w:cs="宋体" w:eastAsia="宋体" w:hAnsi="宋体"/>
          <w:sz w:val="32"/>
          <w:szCs w:val="32"/>
          <w:color w:val="auto"/>
        </w:rPr>
        <w:t>应付保单红利</w:t>
      </w:r>
    </w:p>
    <w:p>
      <w:pPr>
        <w:spacing w:after="0" w:line="236" w:lineRule="exact"/>
        <w:rPr>
          <w:sz w:val="20"/>
          <w:szCs w:val="20"/>
          <w:color w:val="auto"/>
        </w:rPr>
      </w:pPr>
    </w:p>
    <w:p>
      <w:pPr>
        <w:ind w:left="1000"/>
        <w:spacing w:after="0" w:line="388" w:lineRule="exact"/>
        <w:rPr>
          <w:sz w:val="20"/>
          <w:szCs w:val="20"/>
          <w:color w:val="auto"/>
        </w:rPr>
      </w:pPr>
      <w:r>
        <w:rPr>
          <w:rFonts w:ascii="宋体" w:cs="宋体" w:eastAsia="宋体" w:hAnsi="宋体"/>
          <w:sz w:val="32"/>
          <w:szCs w:val="32"/>
          <w:color w:val="auto"/>
        </w:rPr>
        <w:t>（</w:t>
      </w:r>
      <w:r>
        <w:rPr>
          <w:rFonts w:ascii="Arial" w:cs="Arial" w:eastAsia="Arial" w:hAnsi="Arial"/>
          <w:sz w:val="32"/>
          <w:szCs w:val="32"/>
          <w:color w:val="auto"/>
        </w:rPr>
        <w:t>1</w:t>
      </w:r>
      <w:r>
        <w:rPr>
          <w:rFonts w:ascii="宋体" w:cs="宋体" w:eastAsia="宋体" w:hAnsi="宋体"/>
          <w:sz w:val="32"/>
          <w:szCs w:val="32"/>
          <w:color w:val="auto"/>
        </w:rPr>
        <w:t>）简要介绍被评估单位应付保单红利的基本情况。</w:t>
      </w:r>
    </w:p>
    <w:p>
      <w:pPr>
        <w:spacing w:after="0" w:line="236" w:lineRule="exact"/>
        <w:rPr>
          <w:sz w:val="20"/>
          <w:szCs w:val="20"/>
          <w:color w:val="auto"/>
        </w:rPr>
      </w:pPr>
    </w:p>
    <w:p>
      <w:pPr>
        <w:ind w:left="1000"/>
        <w:spacing w:after="0" w:line="388" w:lineRule="exact"/>
        <w:rPr>
          <w:sz w:val="20"/>
          <w:szCs w:val="20"/>
          <w:color w:val="auto"/>
        </w:rPr>
      </w:pPr>
      <w:r>
        <w:rPr>
          <w:rFonts w:ascii="宋体" w:cs="宋体" w:eastAsia="宋体" w:hAnsi="宋体"/>
          <w:sz w:val="32"/>
          <w:szCs w:val="32"/>
          <w:color w:val="auto"/>
        </w:rPr>
        <w:t>（</w:t>
      </w:r>
      <w:r>
        <w:rPr>
          <w:rFonts w:ascii="Arial" w:cs="Arial" w:eastAsia="Arial" w:hAnsi="Arial"/>
          <w:sz w:val="32"/>
          <w:szCs w:val="32"/>
          <w:color w:val="auto"/>
        </w:rPr>
        <w:t>2</w:t>
      </w:r>
      <w:r>
        <w:rPr>
          <w:rFonts w:ascii="宋体" w:cs="宋体" w:eastAsia="宋体" w:hAnsi="宋体"/>
          <w:sz w:val="32"/>
          <w:szCs w:val="32"/>
          <w:color w:val="auto"/>
        </w:rPr>
        <w:t>）对应付保单红利按合同、协议清查核实情况。</w:t>
      </w:r>
    </w:p>
    <w:p>
      <w:pPr>
        <w:spacing w:after="0" w:line="236" w:lineRule="exact"/>
        <w:rPr>
          <w:sz w:val="20"/>
          <w:szCs w:val="20"/>
          <w:color w:val="auto"/>
        </w:rPr>
      </w:pPr>
    </w:p>
    <w:p>
      <w:pPr>
        <w:ind w:left="1000"/>
        <w:spacing w:after="0" w:line="388" w:lineRule="exact"/>
        <w:rPr>
          <w:sz w:val="20"/>
          <w:szCs w:val="20"/>
          <w:color w:val="auto"/>
        </w:rPr>
      </w:pPr>
      <w:r>
        <w:rPr>
          <w:rFonts w:ascii="宋体" w:cs="宋体" w:eastAsia="宋体" w:hAnsi="宋体"/>
          <w:sz w:val="32"/>
          <w:szCs w:val="32"/>
          <w:color w:val="auto"/>
        </w:rPr>
        <w:t>（</w:t>
      </w:r>
      <w:r>
        <w:rPr>
          <w:rFonts w:ascii="Arial" w:cs="Arial" w:eastAsia="Arial" w:hAnsi="Arial"/>
          <w:sz w:val="32"/>
          <w:szCs w:val="32"/>
          <w:color w:val="auto"/>
        </w:rPr>
        <w:t>3</w:t>
      </w:r>
      <w:r>
        <w:rPr>
          <w:rFonts w:ascii="宋体" w:cs="宋体" w:eastAsia="宋体" w:hAnsi="宋体"/>
          <w:sz w:val="32"/>
          <w:szCs w:val="32"/>
          <w:color w:val="auto"/>
        </w:rPr>
        <w:t>）对于长期未付的应付保单红利，应说明原因，并</w:t>
      </w:r>
    </w:p>
    <w:p>
      <w:pPr>
        <w:spacing w:after="0" w:line="259"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说明是否考虑可能需要支付逾期利息对企业负债增加的因</w:t>
      </w:r>
    </w:p>
    <w:p>
      <w:pPr>
        <w:spacing w:after="0" w:line="259"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素。</w:t>
      </w:r>
    </w:p>
    <w:p>
      <w:pPr>
        <w:spacing w:after="0" w:line="236" w:lineRule="exact"/>
        <w:rPr>
          <w:sz w:val="20"/>
          <w:szCs w:val="20"/>
          <w:color w:val="auto"/>
        </w:rPr>
      </w:pPr>
    </w:p>
    <w:p>
      <w:pPr>
        <w:ind w:left="1000"/>
        <w:spacing w:after="0" w:line="388" w:lineRule="exact"/>
        <w:rPr>
          <w:sz w:val="20"/>
          <w:szCs w:val="20"/>
          <w:color w:val="auto"/>
        </w:rPr>
      </w:pPr>
      <w:r>
        <w:rPr>
          <w:rFonts w:ascii="宋体" w:cs="宋体" w:eastAsia="宋体" w:hAnsi="宋体"/>
          <w:sz w:val="32"/>
          <w:szCs w:val="32"/>
          <w:color w:val="auto"/>
        </w:rPr>
        <w:t>（</w:t>
      </w:r>
      <w:r>
        <w:rPr>
          <w:rFonts w:ascii="Arial" w:cs="Arial" w:eastAsia="Arial" w:hAnsi="Arial"/>
          <w:sz w:val="32"/>
          <w:szCs w:val="32"/>
          <w:color w:val="auto"/>
        </w:rPr>
        <w:t>4</w:t>
      </w:r>
      <w:r>
        <w:rPr>
          <w:rFonts w:ascii="宋体" w:cs="宋体" w:eastAsia="宋体" w:hAnsi="宋体"/>
          <w:sz w:val="32"/>
          <w:szCs w:val="32"/>
          <w:color w:val="auto"/>
        </w:rPr>
        <w:t>）应付保单红利评估值的确定方法和结论。</w:t>
      </w:r>
    </w:p>
    <w:p>
      <w:pPr>
        <w:spacing w:after="0" w:line="236" w:lineRule="exact"/>
        <w:rPr>
          <w:sz w:val="20"/>
          <w:szCs w:val="20"/>
          <w:color w:val="auto"/>
        </w:rPr>
      </w:pPr>
    </w:p>
    <w:p>
      <w:pPr>
        <w:ind w:left="1000"/>
        <w:spacing w:after="0" w:line="388" w:lineRule="exact"/>
        <w:rPr>
          <w:sz w:val="20"/>
          <w:szCs w:val="20"/>
          <w:color w:val="auto"/>
        </w:rPr>
      </w:pPr>
      <w:r>
        <w:rPr>
          <w:rFonts w:ascii="Arial" w:cs="Arial" w:eastAsia="Arial" w:hAnsi="Arial"/>
          <w:sz w:val="32"/>
          <w:szCs w:val="32"/>
          <w:color w:val="auto"/>
        </w:rPr>
        <w:t>16.</w:t>
      </w:r>
      <w:r>
        <w:rPr>
          <w:rFonts w:ascii="宋体" w:cs="宋体" w:eastAsia="宋体" w:hAnsi="宋体"/>
          <w:sz w:val="32"/>
          <w:szCs w:val="32"/>
          <w:color w:val="auto"/>
        </w:rPr>
        <w:t>保户储金及投资款</w:t>
      </w:r>
    </w:p>
    <w:p>
      <w:pPr>
        <w:spacing w:after="0" w:line="248" w:lineRule="exact"/>
        <w:rPr>
          <w:sz w:val="20"/>
          <w:szCs w:val="20"/>
          <w:color w:val="auto"/>
        </w:rPr>
      </w:pPr>
    </w:p>
    <w:p>
      <w:pPr>
        <w:ind w:left="1000"/>
        <w:spacing w:after="0" w:line="376" w:lineRule="exact"/>
        <w:rPr>
          <w:sz w:val="20"/>
          <w:szCs w:val="20"/>
          <w:color w:val="auto"/>
        </w:rPr>
      </w:pPr>
      <w:r>
        <w:rPr>
          <w:rFonts w:ascii="宋体" w:cs="宋体" w:eastAsia="宋体" w:hAnsi="宋体"/>
          <w:sz w:val="31"/>
          <w:szCs w:val="31"/>
          <w:color w:val="auto"/>
        </w:rPr>
        <w:t>（</w:t>
      </w:r>
      <w:r>
        <w:rPr>
          <w:rFonts w:ascii="Arial" w:cs="Arial" w:eastAsia="Arial" w:hAnsi="Arial"/>
          <w:sz w:val="31"/>
          <w:szCs w:val="31"/>
          <w:color w:val="auto"/>
        </w:rPr>
        <w:t>1</w:t>
      </w:r>
      <w:r>
        <w:rPr>
          <w:rFonts w:ascii="宋体" w:cs="宋体" w:eastAsia="宋体" w:hAnsi="宋体"/>
          <w:sz w:val="31"/>
          <w:szCs w:val="31"/>
          <w:color w:val="auto"/>
        </w:rPr>
        <w:t>）简要介绍被评估单位投资型保险业务的基本政策；</w:t>
      </w:r>
    </w:p>
    <w:p>
      <w:pPr>
        <w:spacing w:after="0" w:line="259"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说明该政策是否符合国家相关政策、是否合理。</w:t>
      </w:r>
    </w:p>
    <w:p>
      <w:pPr>
        <w:spacing w:after="0" w:line="237" w:lineRule="exact"/>
        <w:rPr>
          <w:sz w:val="20"/>
          <w:szCs w:val="20"/>
          <w:color w:val="auto"/>
        </w:rPr>
      </w:pPr>
    </w:p>
    <w:p>
      <w:pPr>
        <w:ind w:left="1000"/>
        <w:spacing w:after="0" w:line="388" w:lineRule="exact"/>
        <w:rPr>
          <w:sz w:val="20"/>
          <w:szCs w:val="20"/>
          <w:color w:val="auto"/>
        </w:rPr>
      </w:pPr>
      <w:r>
        <w:rPr>
          <w:rFonts w:ascii="宋体" w:cs="宋体" w:eastAsia="宋体" w:hAnsi="宋体"/>
          <w:sz w:val="32"/>
          <w:szCs w:val="32"/>
          <w:color w:val="auto"/>
        </w:rPr>
        <w:t>（</w:t>
      </w:r>
      <w:r>
        <w:rPr>
          <w:rFonts w:ascii="Arial" w:cs="Arial" w:eastAsia="Arial" w:hAnsi="Arial"/>
          <w:sz w:val="32"/>
          <w:szCs w:val="32"/>
          <w:color w:val="auto"/>
        </w:rPr>
        <w:t>2</w:t>
      </w:r>
      <w:r>
        <w:rPr>
          <w:rFonts w:ascii="宋体" w:cs="宋体" w:eastAsia="宋体" w:hAnsi="宋体"/>
          <w:sz w:val="32"/>
          <w:szCs w:val="32"/>
          <w:color w:val="auto"/>
        </w:rPr>
        <w:t>）保户储金及投资款的明细内容。</w:t>
      </w:r>
    </w:p>
    <w:p>
      <w:pPr>
        <w:spacing w:after="0" w:line="236" w:lineRule="exact"/>
        <w:rPr>
          <w:sz w:val="20"/>
          <w:szCs w:val="20"/>
          <w:color w:val="auto"/>
        </w:rPr>
      </w:pPr>
    </w:p>
    <w:p>
      <w:pPr>
        <w:ind w:left="1000"/>
        <w:spacing w:after="0" w:line="388" w:lineRule="exact"/>
        <w:rPr>
          <w:sz w:val="20"/>
          <w:szCs w:val="20"/>
          <w:color w:val="auto"/>
        </w:rPr>
      </w:pPr>
      <w:r>
        <w:rPr>
          <w:rFonts w:ascii="宋体" w:cs="宋体" w:eastAsia="宋体" w:hAnsi="宋体"/>
          <w:sz w:val="32"/>
          <w:szCs w:val="32"/>
          <w:color w:val="auto"/>
        </w:rPr>
        <w:t>（</w:t>
      </w:r>
      <w:r>
        <w:rPr>
          <w:rFonts w:ascii="Arial" w:cs="Arial" w:eastAsia="Arial" w:hAnsi="Arial"/>
          <w:sz w:val="32"/>
          <w:szCs w:val="32"/>
          <w:color w:val="auto"/>
        </w:rPr>
        <w:t>3</w:t>
      </w:r>
      <w:r>
        <w:rPr>
          <w:rFonts w:ascii="宋体" w:cs="宋体" w:eastAsia="宋体" w:hAnsi="宋体"/>
          <w:sz w:val="32"/>
          <w:szCs w:val="32"/>
          <w:color w:val="auto"/>
        </w:rPr>
        <w:t>）保户储金及投资款核实的方法和结论。</w:t>
      </w:r>
    </w:p>
    <w:p>
      <w:pPr>
        <w:spacing w:after="0" w:line="236" w:lineRule="exact"/>
        <w:rPr>
          <w:sz w:val="20"/>
          <w:szCs w:val="20"/>
          <w:color w:val="auto"/>
        </w:rPr>
      </w:pPr>
    </w:p>
    <w:p>
      <w:pPr>
        <w:ind w:left="1000"/>
        <w:spacing w:after="0" w:line="388" w:lineRule="exact"/>
        <w:rPr>
          <w:sz w:val="20"/>
          <w:szCs w:val="20"/>
          <w:color w:val="auto"/>
        </w:rPr>
      </w:pPr>
      <w:r>
        <w:rPr>
          <w:rFonts w:ascii="宋体" w:cs="宋体" w:eastAsia="宋体" w:hAnsi="宋体"/>
          <w:sz w:val="32"/>
          <w:szCs w:val="32"/>
          <w:color w:val="auto"/>
        </w:rPr>
        <w:t>（</w:t>
      </w:r>
      <w:r>
        <w:rPr>
          <w:rFonts w:ascii="Arial" w:cs="Arial" w:eastAsia="Arial" w:hAnsi="Arial"/>
          <w:sz w:val="32"/>
          <w:szCs w:val="32"/>
          <w:color w:val="auto"/>
        </w:rPr>
        <w:t>4</w:t>
      </w:r>
      <w:r>
        <w:rPr>
          <w:rFonts w:ascii="宋体" w:cs="宋体" w:eastAsia="宋体" w:hAnsi="宋体"/>
          <w:sz w:val="32"/>
          <w:szCs w:val="32"/>
          <w:color w:val="auto"/>
        </w:rPr>
        <w:t>）保户储金及投资款评估值的确定方法和结论。</w:t>
      </w:r>
    </w:p>
    <w:p>
      <w:pPr>
        <w:sectPr>
          <w:pgSz w:w="11900" w:h="16838" w:orient="portrait"/>
          <w:cols w:equalWidth="0" w:num="1">
            <w:col w:w="9026"/>
          </w:cols>
          <w:pgMar w:left="1440" w:top="1440" w:right="1440" w:bottom="1440" w:gutter="0" w:footer="0" w:header="0"/>
        </w:sectPr>
      </w:pPr>
    </w:p>
    <w:bookmarkStart w:id="48" w:name="page49"/>
    <w:bookmarkEnd w:id="48"/>
    <w:p>
      <w:pPr>
        <w:spacing w:after="0" w:line="81" w:lineRule="exact"/>
        <w:rPr>
          <w:sz w:val="20"/>
          <w:szCs w:val="20"/>
          <w:color w:val="auto"/>
        </w:rPr>
      </w:pPr>
    </w:p>
    <w:p>
      <w:pPr>
        <w:ind w:left="1000"/>
        <w:spacing w:after="0" w:line="388" w:lineRule="exact"/>
        <w:rPr>
          <w:sz w:val="20"/>
          <w:szCs w:val="20"/>
          <w:color w:val="auto"/>
        </w:rPr>
      </w:pPr>
      <w:r>
        <w:rPr>
          <w:rFonts w:ascii="Arial" w:cs="Arial" w:eastAsia="Arial" w:hAnsi="Arial"/>
          <w:sz w:val="32"/>
          <w:szCs w:val="32"/>
          <w:color w:val="auto"/>
        </w:rPr>
        <w:t>17.</w:t>
      </w:r>
      <w:r>
        <w:rPr>
          <w:rFonts w:ascii="宋体" w:cs="宋体" w:eastAsia="宋体" w:hAnsi="宋体"/>
          <w:sz w:val="32"/>
          <w:szCs w:val="32"/>
          <w:color w:val="auto"/>
        </w:rPr>
        <w:t>未到期责任准备金、保险责任准备金（未决赔款准</w:t>
      </w:r>
    </w:p>
    <w:p>
      <w:pPr>
        <w:spacing w:after="0" w:line="259"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备金、寿险责任准备金、长期健康险责任准备金）的评估</w:t>
      </w:r>
    </w:p>
    <w:p>
      <w:pPr>
        <w:spacing w:after="0" w:line="307" w:lineRule="exact"/>
        <w:rPr>
          <w:sz w:val="20"/>
          <w:szCs w:val="20"/>
          <w:color w:val="auto"/>
        </w:rPr>
      </w:pPr>
    </w:p>
    <w:p>
      <w:pPr>
        <w:jc w:val="both"/>
        <w:ind w:left="360" w:right="366" w:firstLine="641"/>
        <w:spacing w:after="0" w:line="547" w:lineRule="exact"/>
        <w:rPr>
          <w:sz w:val="20"/>
          <w:szCs w:val="20"/>
          <w:color w:val="auto"/>
        </w:rPr>
      </w:pPr>
      <w:r>
        <w:rPr>
          <w:rFonts w:ascii="宋体" w:cs="宋体" w:eastAsia="宋体" w:hAnsi="宋体"/>
          <w:sz w:val="32"/>
          <w:szCs w:val="32"/>
          <w:color w:val="auto"/>
        </w:rPr>
        <w:t>（</w:t>
      </w:r>
      <w:r>
        <w:rPr>
          <w:rFonts w:ascii="Arial" w:cs="Arial" w:eastAsia="Arial" w:hAnsi="Arial"/>
          <w:sz w:val="32"/>
          <w:szCs w:val="32"/>
          <w:color w:val="auto"/>
        </w:rPr>
        <w:t>1</w:t>
      </w:r>
      <w:r>
        <w:rPr>
          <w:rFonts w:ascii="宋体" w:cs="宋体" w:eastAsia="宋体" w:hAnsi="宋体"/>
          <w:sz w:val="32"/>
          <w:szCs w:val="32"/>
          <w:color w:val="auto"/>
        </w:rPr>
        <w:t>）被评估单位未到期责任准备金、保险责任准备金（未决赔款准备金、寿险责任准备金、长期健康险责任准备金）的基本政策；说明该政策是否符合国家相关政策、是否合理。</w:t>
      </w:r>
    </w:p>
    <w:p>
      <w:pPr>
        <w:spacing w:after="0" w:line="309" w:lineRule="exact"/>
        <w:rPr>
          <w:sz w:val="20"/>
          <w:szCs w:val="20"/>
          <w:color w:val="auto"/>
        </w:rPr>
      </w:pPr>
    </w:p>
    <w:p>
      <w:pPr>
        <w:jc w:val="both"/>
        <w:ind w:left="360" w:right="366" w:firstLine="641"/>
        <w:spacing w:after="0" w:line="522" w:lineRule="exact"/>
        <w:rPr>
          <w:sz w:val="20"/>
          <w:szCs w:val="20"/>
          <w:color w:val="auto"/>
        </w:rPr>
      </w:pPr>
      <w:r>
        <w:rPr>
          <w:rFonts w:ascii="宋体" w:cs="宋体" w:eastAsia="宋体" w:hAnsi="宋体"/>
          <w:sz w:val="32"/>
          <w:szCs w:val="32"/>
          <w:color w:val="auto"/>
        </w:rPr>
        <w:t>（</w:t>
      </w:r>
      <w:r>
        <w:rPr>
          <w:rFonts w:ascii="Arial" w:cs="Arial" w:eastAsia="Arial" w:hAnsi="Arial"/>
          <w:sz w:val="32"/>
          <w:szCs w:val="32"/>
          <w:color w:val="auto"/>
        </w:rPr>
        <w:t>2</w:t>
      </w:r>
      <w:r>
        <w:rPr>
          <w:rFonts w:ascii="宋体" w:cs="宋体" w:eastAsia="宋体" w:hAnsi="宋体"/>
          <w:sz w:val="32"/>
          <w:szCs w:val="32"/>
          <w:color w:val="auto"/>
        </w:rPr>
        <w:t>）未到期责任准备金、保险责任准备金（未决赔款准备金、寿险责任准备金、长期健康险责任准备金）的明细内容、计提依据。</w:t>
      </w:r>
    </w:p>
    <w:p>
      <w:pPr>
        <w:spacing w:after="0" w:line="308" w:lineRule="exact"/>
        <w:rPr>
          <w:sz w:val="20"/>
          <w:szCs w:val="20"/>
          <w:color w:val="auto"/>
        </w:rPr>
      </w:pPr>
    </w:p>
    <w:p>
      <w:pPr>
        <w:jc w:val="both"/>
        <w:ind w:left="360" w:right="366" w:firstLine="641"/>
        <w:spacing w:after="0" w:line="522" w:lineRule="exact"/>
        <w:rPr>
          <w:sz w:val="20"/>
          <w:szCs w:val="20"/>
          <w:color w:val="auto"/>
        </w:rPr>
      </w:pPr>
      <w:r>
        <w:rPr>
          <w:rFonts w:ascii="宋体" w:cs="宋体" w:eastAsia="宋体" w:hAnsi="宋体"/>
          <w:sz w:val="32"/>
          <w:szCs w:val="32"/>
          <w:color w:val="auto"/>
        </w:rPr>
        <w:t>（</w:t>
      </w:r>
      <w:r>
        <w:rPr>
          <w:rFonts w:ascii="Arial" w:cs="Arial" w:eastAsia="Arial" w:hAnsi="Arial"/>
          <w:sz w:val="32"/>
          <w:szCs w:val="32"/>
          <w:color w:val="auto"/>
        </w:rPr>
        <w:t>3</w:t>
      </w:r>
      <w:r>
        <w:rPr>
          <w:rFonts w:ascii="宋体" w:cs="宋体" w:eastAsia="宋体" w:hAnsi="宋体"/>
          <w:sz w:val="32"/>
          <w:szCs w:val="32"/>
          <w:color w:val="auto"/>
        </w:rPr>
        <w:t>）未到期责任准备金、保险责任准备金（未决赔款准备金、寿险责任准备金、长期健康险责任准备金）核实的方法和结论。</w:t>
      </w:r>
    </w:p>
    <w:p>
      <w:pPr>
        <w:spacing w:after="0" w:line="307" w:lineRule="exact"/>
        <w:rPr>
          <w:sz w:val="20"/>
          <w:szCs w:val="20"/>
          <w:color w:val="auto"/>
        </w:rPr>
      </w:pPr>
    </w:p>
    <w:p>
      <w:pPr>
        <w:jc w:val="both"/>
        <w:ind w:left="360" w:right="366" w:firstLine="641"/>
        <w:spacing w:after="0" w:line="522" w:lineRule="exact"/>
        <w:rPr>
          <w:sz w:val="20"/>
          <w:szCs w:val="20"/>
          <w:color w:val="auto"/>
        </w:rPr>
      </w:pPr>
      <w:r>
        <w:rPr>
          <w:rFonts w:ascii="宋体" w:cs="宋体" w:eastAsia="宋体" w:hAnsi="宋体"/>
          <w:sz w:val="32"/>
          <w:szCs w:val="32"/>
          <w:color w:val="auto"/>
        </w:rPr>
        <w:t>（</w:t>
      </w:r>
      <w:r>
        <w:rPr>
          <w:rFonts w:ascii="Arial" w:cs="Arial" w:eastAsia="Arial" w:hAnsi="Arial"/>
          <w:sz w:val="32"/>
          <w:szCs w:val="32"/>
          <w:color w:val="auto"/>
        </w:rPr>
        <w:t>4</w:t>
      </w:r>
      <w:r>
        <w:rPr>
          <w:rFonts w:ascii="宋体" w:cs="宋体" w:eastAsia="宋体" w:hAnsi="宋体"/>
          <w:sz w:val="32"/>
          <w:szCs w:val="32"/>
          <w:color w:val="auto"/>
        </w:rPr>
        <w:t>）未到期责任准备金、保险责任准备金（未决赔款准备金、寿险责任准备金、长期健康险责任准备金）评估值的确定方法和结论。</w:t>
      </w:r>
    </w:p>
    <w:p>
      <w:pPr>
        <w:spacing w:after="0" w:line="237" w:lineRule="exact"/>
        <w:rPr>
          <w:sz w:val="20"/>
          <w:szCs w:val="20"/>
          <w:color w:val="auto"/>
        </w:rPr>
      </w:pPr>
    </w:p>
    <w:p>
      <w:pPr>
        <w:ind w:left="1000"/>
        <w:spacing w:after="0" w:line="388" w:lineRule="exact"/>
        <w:rPr>
          <w:sz w:val="20"/>
          <w:szCs w:val="20"/>
          <w:color w:val="auto"/>
        </w:rPr>
      </w:pPr>
      <w:r>
        <w:rPr>
          <w:rFonts w:ascii="Arial" w:cs="Arial" w:eastAsia="Arial" w:hAnsi="Arial"/>
          <w:sz w:val="32"/>
          <w:szCs w:val="32"/>
          <w:color w:val="auto"/>
        </w:rPr>
        <w:t>18</w:t>
      </w:r>
      <w:r>
        <w:rPr>
          <w:rFonts w:ascii="宋体" w:cs="宋体" w:eastAsia="宋体" w:hAnsi="宋体"/>
          <w:sz w:val="32"/>
          <w:szCs w:val="32"/>
          <w:color w:val="auto"/>
        </w:rPr>
        <w:t>．长期借款</w:t>
      </w:r>
    </w:p>
    <w:p>
      <w:pPr>
        <w:spacing w:after="0" w:line="307" w:lineRule="exact"/>
        <w:rPr>
          <w:sz w:val="20"/>
          <w:szCs w:val="20"/>
          <w:color w:val="auto"/>
        </w:rPr>
      </w:pPr>
    </w:p>
    <w:p>
      <w:pPr>
        <w:jc w:val="both"/>
        <w:ind w:left="360" w:right="366" w:firstLine="641"/>
        <w:spacing w:after="0" w:line="471" w:lineRule="exact"/>
        <w:rPr>
          <w:sz w:val="20"/>
          <w:szCs w:val="20"/>
          <w:color w:val="auto"/>
        </w:rPr>
      </w:pPr>
      <w:r>
        <w:rPr>
          <w:rFonts w:ascii="宋体" w:cs="宋体" w:eastAsia="宋体" w:hAnsi="宋体"/>
          <w:sz w:val="32"/>
          <w:szCs w:val="32"/>
          <w:color w:val="auto"/>
        </w:rPr>
        <w:t>（</w:t>
      </w:r>
      <w:r>
        <w:rPr>
          <w:rFonts w:ascii="Arial" w:cs="Arial" w:eastAsia="Arial" w:hAnsi="Arial"/>
          <w:sz w:val="32"/>
          <w:szCs w:val="32"/>
          <w:color w:val="auto"/>
        </w:rPr>
        <w:t>1</w:t>
      </w:r>
      <w:r>
        <w:rPr>
          <w:rFonts w:ascii="宋体" w:cs="宋体" w:eastAsia="宋体" w:hAnsi="宋体"/>
          <w:sz w:val="32"/>
          <w:szCs w:val="32"/>
          <w:color w:val="auto"/>
        </w:rPr>
        <w:t>）借款的金额、发生日期、放贷银行名称、还款期限和贷款利率以及抵（质）押情况。</w:t>
      </w:r>
    </w:p>
    <w:p>
      <w:pPr>
        <w:spacing w:after="0" w:line="236" w:lineRule="exact"/>
        <w:rPr>
          <w:sz w:val="20"/>
          <w:szCs w:val="20"/>
          <w:color w:val="auto"/>
        </w:rPr>
      </w:pPr>
    </w:p>
    <w:p>
      <w:pPr>
        <w:ind w:left="1000"/>
        <w:spacing w:after="0" w:line="388" w:lineRule="exact"/>
        <w:rPr>
          <w:sz w:val="20"/>
          <w:szCs w:val="20"/>
          <w:color w:val="auto"/>
        </w:rPr>
      </w:pPr>
      <w:r>
        <w:rPr>
          <w:rFonts w:ascii="宋体" w:cs="宋体" w:eastAsia="宋体" w:hAnsi="宋体"/>
          <w:sz w:val="32"/>
          <w:szCs w:val="32"/>
          <w:color w:val="auto"/>
        </w:rPr>
        <w:t>（</w:t>
      </w:r>
      <w:r>
        <w:rPr>
          <w:rFonts w:ascii="Arial" w:cs="Arial" w:eastAsia="Arial" w:hAnsi="Arial"/>
          <w:sz w:val="32"/>
          <w:szCs w:val="32"/>
          <w:color w:val="auto"/>
        </w:rPr>
        <w:t>2</w:t>
      </w:r>
      <w:r>
        <w:rPr>
          <w:rFonts w:ascii="宋体" w:cs="宋体" w:eastAsia="宋体" w:hAnsi="宋体"/>
          <w:sz w:val="32"/>
          <w:szCs w:val="32"/>
          <w:color w:val="auto"/>
        </w:rPr>
        <w:t>）借款的函证情况。</w:t>
      </w:r>
    </w:p>
    <w:p>
      <w:pPr>
        <w:spacing w:after="0" w:line="237" w:lineRule="exact"/>
        <w:rPr>
          <w:sz w:val="20"/>
          <w:szCs w:val="20"/>
          <w:color w:val="auto"/>
        </w:rPr>
      </w:pPr>
    </w:p>
    <w:p>
      <w:pPr>
        <w:ind w:left="1000"/>
        <w:spacing w:after="0" w:line="388" w:lineRule="exact"/>
        <w:rPr>
          <w:sz w:val="20"/>
          <w:szCs w:val="20"/>
          <w:color w:val="auto"/>
        </w:rPr>
      </w:pPr>
      <w:r>
        <w:rPr>
          <w:rFonts w:ascii="宋体" w:cs="宋体" w:eastAsia="宋体" w:hAnsi="宋体"/>
          <w:sz w:val="32"/>
          <w:szCs w:val="32"/>
          <w:color w:val="auto"/>
        </w:rPr>
        <w:t>（</w:t>
      </w:r>
      <w:r>
        <w:rPr>
          <w:rFonts w:ascii="Arial" w:cs="Arial" w:eastAsia="Arial" w:hAnsi="Arial"/>
          <w:sz w:val="32"/>
          <w:szCs w:val="32"/>
          <w:color w:val="auto"/>
        </w:rPr>
        <w:t>3</w:t>
      </w:r>
      <w:r>
        <w:rPr>
          <w:rFonts w:ascii="宋体" w:cs="宋体" w:eastAsia="宋体" w:hAnsi="宋体"/>
          <w:sz w:val="32"/>
          <w:szCs w:val="32"/>
          <w:color w:val="auto"/>
        </w:rPr>
        <w:t>）利率水平、结算方式和结算时间对评估结论的影</w:t>
      </w:r>
    </w:p>
    <w:p>
      <w:pPr>
        <w:spacing w:after="0" w:line="259"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响。</w:t>
      </w:r>
    </w:p>
    <w:p>
      <w:pPr>
        <w:spacing w:after="0" w:line="236" w:lineRule="exact"/>
        <w:rPr>
          <w:sz w:val="20"/>
          <w:szCs w:val="20"/>
          <w:color w:val="auto"/>
        </w:rPr>
      </w:pPr>
    </w:p>
    <w:p>
      <w:pPr>
        <w:ind w:left="1000"/>
        <w:spacing w:after="0" w:line="388" w:lineRule="exact"/>
        <w:rPr>
          <w:sz w:val="20"/>
          <w:szCs w:val="20"/>
          <w:color w:val="auto"/>
        </w:rPr>
      </w:pPr>
      <w:r>
        <w:rPr>
          <w:rFonts w:ascii="宋体" w:cs="宋体" w:eastAsia="宋体" w:hAnsi="宋体"/>
          <w:sz w:val="32"/>
          <w:szCs w:val="32"/>
          <w:color w:val="auto"/>
        </w:rPr>
        <w:t>（</w:t>
      </w:r>
      <w:r>
        <w:rPr>
          <w:rFonts w:ascii="Arial" w:cs="Arial" w:eastAsia="Arial" w:hAnsi="Arial"/>
          <w:sz w:val="32"/>
          <w:szCs w:val="32"/>
          <w:color w:val="auto"/>
        </w:rPr>
        <w:t>4</w:t>
      </w:r>
      <w:r>
        <w:rPr>
          <w:rFonts w:ascii="宋体" w:cs="宋体" w:eastAsia="宋体" w:hAnsi="宋体"/>
          <w:sz w:val="32"/>
          <w:szCs w:val="32"/>
          <w:color w:val="auto"/>
        </w:rPr>
        <w:t>）长期借款评估值的确定方法和结论。</w:t>
      </w:r>
    </w:p>
    <w:p>
      <w:pPr>
        <w:sectPr>
          <w:pgSz w:w="11900" w:h="16838" w:orient="portrait"/>
          <w:cols w:equalWidth="0" w:num="1">
            <w:col w:w="9026"/>
          </w:cols>
          <w:pgMar w:left="1440" w:top="1440" w:right="1440" w:bottom="1440" w:gutter="0" w:footer="0" w:header="0"/>
        </w:sectPr>
      </w:pPr>
    </w:p>
    <w:bookmarkStart w:id="49" w:name="page50"/>
    <w:bookmarkEnd w:id="49"/>
    <w:p>
      <w:pPr>
        <w:spacing w:after="0" w:line="81" w:lineRule="exact"/>
        <w:rPr>
          <w:sz w:val="20"/>
          <w:szCs w:val="20"/>
          <w:color w:val="auto"/>
        </w:rPr>
      </w:pPr>
    </w:p>
    <w:p>
      <w:pPr>
        <w:ind w:left="1000"/>
        <w:spacing w:after="0" w:line="388" w:lineRule="exact"/>
        <w:rPr>
          <w:sz w:val="20"/>
          <w:szCs w:val="20"/>
          <w:color w:val="auto"/>
        </w:rPr>
      </w:pPr>
      <w:r>
        <w:rPr>
          <w:rFonts w:ascii="Arial" w:cs="Arial" w:eastAsia="Arial" w:hAnsi="Arial"/>
          <w:sz w:val="32"/>
          <w:szCs w:val="32"/>
          <w:color w:val="auto"/>
        </w:rPr>
        <w:t>19.</w:t>
      </w:r>
      <w:r>
        <w:rPr>
          <w:rFonts w:ascii="宋体" w:cs="宋体" w:eastAsia="宋体" w:hAnsi="宋体"/>
          <w:sz w:val="32"/>
          <w:szCs w:val="32"/>
          <w:color w:val="auto"/>
        </w:rPr>
        <w:t>独立账户负债</w:t>
      </w:r>
    </w:p>
    <w:p>
      <w:pPr>
        <w:spacing w:after="0" w:line="237" w:lineRule="exact"/>
        <w:rPr>
          <w:sz w:val="20"/>
          <w:szCs w:val="20"/>
          <w:color w:val="auto"/>
        </w:rPr>
      </w:pPr>
    </w:p>
    <w:p>
      <w:pPr>
        <w:ind w:left="1000"/>
        <w:spacing w:after="0" w:line="388" w:lineRule="exact"/>
        <w:rPr>
          <w:sz w:val="20"/>
          <w:szCs w:val="20"/>
          <w:color w:val="auto"/>
        </w:rPr>
      </w:pPr>
      <w:r>
        <w:rPr>
          <w:rFonts w:ascii="宋体" w:cs="宋体" w:eastAsia="宋体" w:hAnsi="宋体"/>
          <w:sz w:val="32"/>
          <w:szCs w:val="32"/>
          <w:color w:val="auto"/>
        </w:rPr>
        <w:t>（</w:t>
      </w:r>
      <w:r>
        <w:rPr>
          <w:rFonts w:ascii="Arial" w:cs="Arial" w:eastAsia="Arial" w:hAnsi="Arial"/>
          <w:sz w:val="32"/>
          <w:szCs w:val="32"/>
          <w:color w:val="auto"/>
        </w:rPr>
        <w:t>1</w:t>
      </w:r>
      <w:r>
        <w:rPr>
          <w:rFonts w:ascii="宋体" w:cs="宋体" w:eastAsia="宋体" w:hAnsi="宋体"/>
          <w:sz w:val="32"/>
          <w:szCs w:val="32"/>
          <w:color w:val="auto"/>
        </w:rPr>
        <w:t>）独立账户负债类别。</w:t>
      </w:r>
    </w:p>
    <w:p>
      <w:pPr>
        <w:spacing w:after="0" w:line="236" w:lineRule="exact"/>
        <w:rPr>
          <w:sz w:val="20"/>
          <w:szCs w:val="20"/>
          <w:color w:val="auto"/>
        </w:rPr>
      </w:pPr>
    </w:p>
    <w:p>
      <w:pPr>
        <w:ind w:left="1000"/>
        <w:spacing w:after="0" w:line="388" w:lineRule="exact"/>
        <w:rPr>
          <w:sz w:val="20"/>
          <w:szCs w:val="20"/>
          <w:color w:val="auto"/>
        </w:rPr>
      </w:pPr>
      <w:r>
        <w:rPr>
          <w:rFonts w:ascii="宋体" w:cs="宋体" w:eastAsia="宋体" w:hAnsi="宋体"/>
          <w:sz w:val="32"/>
          <w:szCs w:val="32"/>
          <w:color w:val="auto"/>
        </w:rPr>
        <w:t>（</w:t>
      </w:r>
      <w:r>
        <w:rPr>
          <w:rFonts w:ascii="Arial" w:cs="Arial" w:eastAsia="Arial" w:hAnsi="Arial"/>
          <w:sz w:val="32"/>
          <w:szCs w:val="32"/>
          <w:color w:val="auto"/>
        </w:rPr>
        <w:t>2</w:t>
      </w:r>
      <w:r>
        <w:rPr>
          <w:rFonts w:ascii="宋体" w:cs="宋体" w:eastAsia="宋体" w:hAnsi="宋体"/>
          <w:sz w:val="32"/>
          <w:szCs w:val="32"/>
          <w:color w:val="auto"/>
        </w:rPr>
        <w:t>）独立账户负债核实的方法和结论。</w:t>
      </w:r>
    </w:p>
    <w:p>
      <w:pPr>
        <w:spacing w:after="0" w:line="236" w:lineRule="exact"/>
        <w:rPr>
          <w:sz w:val="20"/>
          <w:szCs w:val="20"/>
          <w:color w:val="auto"/>
        </w:rPr>
      </w:pPr>
    </w:p>
    <w:p>
      <w:pPr>
        <w:ind w:left="1000"/>
        <w:spacing w:after="0" w:line="388" w:lineRule="exact"/>
        <w:rPr>
          <w:sz w:val="20"/>
          <w:szCs w:val="20"/>
          <w:color w:val="auto"/>
        </w:rPr>
      </w:pPr>
      <w:r>
        <w:rPr>
          <w:rFonts w:ascii="宋体" w:cs="宋体" w:eastAsia="宋体" w:hAnsi="宋体"/>
          <w:sz w:val="32"/>
          <w:szCs w:val="32"/>
          <w:color w:val="auto"/>
        </w:rPr>
        <w:t>（</w:t>
      </w:r>
      <w:r>
        <w:rPr>
          <w:rFonts w:ascii="Arial" w:cs="Arial" w:eastAsia="Arial" w:hAnsi="Arial"/>
          <w:sz w:val="32"/>
          <w:szCs w:val="32"/>
          <w:color w:val="auto"/>
        </w:rPr>
        <w:t>3</w:t>
      </w:r>
      <w:r>
        <w:rPr>
          <w:rFonts w:ascii="宋体" w:cs="宋体" w:eastAsia="宋体" w:hAnsi="宋体"/>
          <w:sz w:val="32"/>
          <w:szCs w:val="32"/>
          <w:color w:val="auto"/>
        </w:rPr>
        <w:t>）独立账户负债评估值的确定方法和结论。</w:t>
      </w:r>
    </w:p>
    <w:p>
      <w:pPr>
        <w:spacing w:after="0" w:line="236" w:lineRule="exact"/>
        <w:rPr>
          <w:sz w:val="20"/>
          <w:szCs w:val="20"/>
          <w:color w:val="auto"/>
        </w:rPr>
      </w:pPr>
    </w:p>
    <w:p>
      <w:pPr>
        <w:ind w:left="1000"/>
        <w:spacing w:after="0" w:line="388" w:lineRule="exact"/>
        <w:rPr>
          <w:sz w:val="20"/>
          <w:szCs w:val="20"/>
          <w:color w:val="auto"/>
        </w:rPr>
      </w:pPr>
      <w:r>
        <w:rPr>
          <w:rFonts w:ascii="Arial" w:cs="Arial" w:eastAsia="Arial" w:hAnsi="Arial"/>
          <w:sz w:val="32"/>
          <w:szCs w:val="32"/>
          <w:color w:val="auto"/>
        </w:rPr>
        <w:t>20</w:t>
      </w:r>
      <w:r>
        <w:rPr>
          <w:rFonts w:ascii="宋体" w:cs="宋体" w:eastAsia="宋体" w:hAnsi="宋体"/>
          <w:sz w:val="32"/>
          <w:szCs w:val="32"/>
          <w:color w:val="auto"/>
        </w:rPr>
        <w:t>．其他负债</w:t>
      </w:r>
    </w:p>
    <w:p>
      <w:pPr>
        <w:spacing w:after="0" w:line="236" w:lineRule="exact"/>
        <w:rPr>
          <w:sz w:val="20"/>
          <w:szCs w:val="20"/>
          <w:color w:val="auto"/>
        </w:rPr>
      </w:pPr>
    </w:p>
    <w:p>
      <w:pPr>
        <w:ind w:left="1000"/>
        <w:spacing w:after="0" w:line="388" w:lineRule="exact"/>
        <w:rPr>
          <w:sz w:val="20"/>
          <w:szCs w:val="20"/>
          <w:color w:val="auto"/>
        </w:rPr>
      </w:pPr>
      <w:r>
        <w:rPr>
          <w:rFonts w:ascii="宋体" w:cs="宋体" w:eastAsia="宋体" w:hAnsi="宋体"/>
          <w:sz w:val="32"/>
          <w:szCs w:val="32"/>
          <w:color w:val="auto"/>
        </w:rPr>
        <w:t>（</w:t>
      </w:r>
      <w:r>
        <w:rPr>
          <w:rFonts w:ascii="Arial" w:cs="Arial" w:eastAsia="Arial" w:hAnsi="Arial"/>
          <w:sz w:val="32"/>
          <w:szCs w:val="32"/>
          <w:color w:val="auto"/>
        </w:rPr>
        <w:t>1</w:t>
      </w:r>
      <w:r>
        <w:rPr>
          <w:rFonts w:ascii="宋体" w:cs="宋体" w:eastAsia="宋体" w:hAnsi="宋体"/>
          <w:sz w:val="32"/>
          <w:szCs w:val="32"/>
          <w:color w:val="auto"/>
        </w:rPr>
        <w:t>）其他应付款</w:t>
      </w:r>
    </w:p>
    <w:p>
      <w:pPr>
        <w:spacing w:after="0" w:line="236" w:lineRule="exact"/>
        <w:rPr>
          <w:sz w:val="20"/>
          <w:szCs w:val="20"/>
          <w:color w:val="auto"/>
        </w:rPr>
      </w:pPr>
    </w:p>
    <w:p>
      <w:pPr>
        <w:ind w:left="1000"/>
        <w:spacing w:after="0" w:line="388" w:lineRule="exact"/>
        <w:rPr>
          <w:sz w:val="20"/>
          <w:szCs w:val="20"/>
          <w:color w:val="auto"/>
        </w:rPr>
      </w:pPr>
      <w:r>
        <w:rPr>
          <w:rFonts w:ascii="Arial" w:cs="Arial" w:eastAsia="Arial" w:hAnsi="Arial"/>
          <w:sz w:val="32"/>
          <w:szCs w:val="32"/>
          <w:color w:val="auto"/>
        </w:rPr>
        <w:t>1)</w:t>
      </w:r>
      <w:r>
        <w:rPr>
          <w:rFonts w:ascii="宋体" w:cs="宋体" w:eastAsia="宋体" w:hAnsi="宋体"/>
          <w:sz w:val="32"/>
          <w:szCs w:val="32"/>
          <w:color w:val="auto"/>
        </w:rPr>
        <w:t>其他应付款发生时间、原因。</w:t>
      </w:r>
    </w:p>
    <w:p>
      <w:pPr>
        <w:spacing w:after="0" w:line="237" w:lineRule="exact"/>
        <w:rPr>
          <w:sz w:val="20"/>
          <w:szCs w:val="20"/>
          <w:color w:val="auto"/>
        </w:rPr>
      </w:pPr>
    </w:p>
    <w:p>
      <w:pPr>
        <w:ind w:left="1000"/>
        <w:spacing w:after="0" w:line="388" w:lineRule="exact"/>
        <w:rPr>
          <w:sz w:val="20"/>
          <w:szCs w:val="20"/>
          <w:color w:val="auto"/>
        </w:rPr>
      </w:pPr>
      <w:r>
        <w:rPr>
          <w:rFonts w:ascii="Arial" w:cs="Arial" w:eastAsia="Arial" w:hAnsi="Arial"/>
          <w:sz w:val="32"/>
          <w:szCs w:val="32"/>
          <w:color w:val="auto"/>
        </w:rPr>
        <w:t>2)</w:t>
      </w:r>
      <w:r>
        <w:rPr>
          <w:rFonts w:ascii="宋体" w:cs="宋体" w:eastAsia="宋体" w:hAnsi="宋体"/>
          <w:sz w:val="32"/>
          <w:szCs w:val="32"/>
          <w:color w:val="auto"/>
        </w:rPr>
        <w:t>其他应付款核实的方法和结论。</w:t>
      </w:r>
    </w:p>
    <w:p>
      <w:pPr>
        <w:spacing w:after="0" w:line="236" w:lineRule="exact"/>
        <w:rPr>
          <w:sz w:val="20"/>
          <w:szCs w:val="20"/>
          <w:color w:val="auto"/>
        </w:rPr>
      </w:pPr>
    </w:p>
    <w:p>
      <w:pPr>
        <w:ind w:left="1000"/>
        <w:spacing w:after="0" w:line="388" w:lineRule="exact"/>
        <w:rPr>
          <w:sz w:val="20"/>
          <w:szCs w:val="20"/>
          <w:color w:val="auto"/>
        </w:rPr>
      </w:pPr>
      <w:r>
        <w:rPr>
          <w:rFonts w:ascii="Arial" w:cs="Arial" w:eastAsia="Arial" w:hAnsi="Arial"/>
          <w:sz w:val="32"/>
          <w:szCs w:val="32"/>
          <w:color w:val="auto"/>
        </w:rPr>
        <w:t>3)</w:t>
      </w:r>
      <w:r>
        <w:rPr>
          <w:rFonts w:ascii="宋体" w:cs="宋体" w:eastAsia="宋体" w:hAnsi="宋体"/>
          <w:sz w:val="32"/>
          <w:szCs w:val="32"/>
          <w:color w:val="auto"/>
        </w:rPr>
        <w:t>其他应付款评估值的确定方法和结论。</w:t>
      </w:r>
    </w:p>
    <w:p>
      <w:pPr>
        <w:spacing w:after="0" w:line="236" w:lineRule="exact"/>
        <w:rPr>
          <w:sz w:val="20"/>
          <w:szCs w:val="20"/>
          <w:color w:val="auto"/>
        </w:rPr>
      </w:pPr>
    </w:p>
    <w:p>
      <w:pPr>
        <w:ind w:left="1000"/>
        <w:spacing w:after="0" w:line="388" w:lineRule="exact"/>
        <w:rPr>
          <w:sz w:val="20"/>
          <w:szCs w:val="20"/>
          <w:color w:val="auto"/>
        </w:rPr>
      </w:pPr>
      <w:r>
        <w:rPr>
          <w:rFonts w:ascii="宋体" w:cs="宋体" w:eastAsia="宋体" w:hAnsi="宋体"/>
          <w:sz w:val="32"/>
          <w:szCs w:val="32"/>
          <w:color w:val="auto"/>
        </w:rPr>
        <w:t>（</w:t>
      </w:r>
      <w:r>
        <w:rPr>
          <w:rFonts w:ascii="Arial" w:cs="Arial" w:eastAsia="Arial" w:hAnsi="Arial"/>
          <w:sz w:val="32"/>
          <w:szCs w:val="32"/>
          <w:color w:val="auto"/>
        </w:rPr>
        <w:t>2</w:t>
      </w:r>
      <w:r>
        <w:rPr>
          <w:rFonts w:ascii="宋体" w:cs="宋体" w:eastAsia="宋体" w:hAnsi="宋体"/>
          <w:sz w:val="32"/>
          <w:szCs w:val="32"/>
          <w:color w:val="auto"/>
        </w:rPr>
        <w:t>）存入分保准备金</w:t>
      </w:r>
    </w:p>
    <w:p>
      <w:pPr>
        <w:spacing w:after="0" w:line="236" w:lineRule="exact"/>
        <w:rPr>
          <w:sz w:val="20"/>
          <w:szCs w:val="20"/>
          <w:color w:val="auto"/>
        </w:rPr>
      </w:pPr>
    </w:p>
    <w:p>
      <w:pPr>
        <w:ind w:left="1000"/>
        <w:spacing w:after="0" w:line="388" w:lineRule="exact"/>
        <w:rPr>
          <w:sz w:val="20"/>
          <w:szCs w:val="20"/>
          <w:color w:val="auto"/>
        </w:rPr>
      </w:pPr>
      <w:r>
        <w:rPr>
          <w:rFonts w:ascii="Arial" w:cs="Arial" w:eastAsia="Arial" w:hAnsi="Arial"/>
          <w:sz w:val="32"/>
          <w:szCs w:val="32"/>
          <w:color w:val="auto"/>
        </w:rPr>
        <w:t>1)</w:t>
      </w:r>
      <w:r>
        <w:rPr>
          <w:rFonts w:ascii="宋体" w:cs="宋体" w:eastAsia="宋体" w:hAnsi="宋体"/>
          <w:sz w:val="32"/>
          <w:szCs w:val="32"/>
          <w:color w:val="auto"/>
        </w:rPr>
        <w:t>存入分保准备金的金额、种类和企业确认依据。</w:t>
      </w:r>
    </w:p>
    <w:p>
      <w:pPr>
        <w:spacing w:after="0" w:line="236" w:lineRule="exact"/>
        <w:rPr>
          <w:sz w:val="20"/>
          <w:szCs w:val="20"/>
          <w:color w:val="auto"/>
        </w:rPr>
      </w:pPr>
    </w:p>
    <w:p>
      <w:pPr>
        <w:ind w:left="1000"/>
        <w:spacing w:after="0" w:line="388" w:lineRule="exact"/>
        <w:rPr>
          <w:sz w:val="20"/>
          <w:szCs w:val="20"/>
          <w:color w:val="auto"/>
        </w:rPr>
      </w:pPr>
      <w:r>
        <w:rPr>
          <w:rFonts w:ascii="Arial" w:cs="Arial" w:eastAsia="Arial" w:hAnsi="Arial"/>
          <w:sz w:val="32"/>
          <w:szCs w:val="32"/>
          <w:color w:val="auto"/>
        </w:rPr>
        <w:t>2)</w:t>
      </w:r>
      <w:r>
        <w:rPr>
          <w:rFonts w:ascii="宋体" w:cs="宋体" w:eastAsia="宋体" w:hAnsi="宋体"/>
          <w:sz w:val="32"/>
          <w:szCs w:val="32"/>
          <w:color w:val="auto"/>
        </w:rPr>
        <w:t>存入分保准备金核实的方法和结论。</w:t>
      </w:r>
    </w:p>
    <w:p>
      <w:pPr>
        <w:spacing w:after="0" w:line="236" w:lineRule="exact"/>
        <w:rPr>
          <w:sz w:val="20"/>
          <w:szCs w:val="20"/>
          <w:color w:val="auto"/>
        </w:rPr>
      </w:pPr>
    </w:p>
    <w:p>
      <w:pPr>
        <w:ind w:left="1000"/>
        <w:spacing w:after="0" w:line="388" w:lineRule="exact"/>
        <w:rPr>
          <w:sz w:val="20"/>
          <w:szCs w:val="20"/>
          <w:color w:val="auto"/>
        </w:rPr>
      </w:pPr>
      <w:r>
        <w:rPr>
          <w:rFonts w:ascii="Arial" w:cs="Arial" w:eastAsia="Arial" w:hAnsi="Arial"/>
          <w:sz w:val="32"/>
          <w:szCs w:val="32"/>
          <w:color w:val="auto"/>
        </w:rPr>
        <w:t>3)</w:t>
      </w:r>
      <w:r>
        <w:rPr>
          <w:rFonts w:ascii="宋体" w:cs="宋体" w:eastAsia="宋体" w:hAnsi="宋体"/>
          <w:sz w:val="32"/>
          <w:szCs w:val="32"/>
          <w:color w:val="auto"/>
        </w:rPr>
        <w:t>存入分保准备金评估值的确定方法和结论。</w:t>
      </w:r>
    </w:p>
    <w:p>
      <w:pPr>
        <w:spacing w:after="0" w:line="237" w:lineRule="exact"/>
        <w:rPr>
          <w:sz w:val="20"/>
          <w:szCs w:val="20"/>
          <w:color w:val="auto"/>
        </w:rPr>
      </w:pPr>
    </w:p>
    <w:p>
      <w:pPr>
        <w:ind w:left="1000"/>
        <w:spacing w:after="0" w:line="388" w:lineRule="exact"/>
        <w:rPr>
          <w:sz w:val="20"/>
          <w:szCs w:val="20"/>
          <w:color w:val="auto"/>
        </w:rPr>
      </w:pPr>
      <w:r>
        <w:rPr>
          <w:rFonts w:ascii="宋体" w:cs="宋体" w:eastAsia="宋体" w:hAnsi="宋体"/>
          <w:sz w:val="32"/>
          <w:szCs w:val="32"/>
          <w:color w:val="auto"/>
        </w:rPr>
        <w:t>（</w:t>
      </w:r>
      <w:r>
        <w:rPr>
          <w:rFonts w:ascii="Arial" w:cs="Arial" w:eastAsia="Arial" w:hAnsi="Arial"/>
          <w:sz w:val="32"/>
          <w:szCs w:val="32"/>
          <w:color w:val="auto"/>
        </w:rPr>
        <w:t>3</w:t>
      </w:r>
      <w:r>
        <w:rPr>
          <w:rFonts w:ascii="宋体" w:cs="宋体" w:eastAsia="宋体" w:hAnsi="宋体"/>
          <w:sz w:val="32"/>
          <w:szCs w:val="32"/>
          <w:color w:val="auto"/>
        </w:rPr>
        <w:t>）上述负债以外的其他负债</w:t>
      </w:r>
    </w:p>
    <w:p>
      <w:pPr>
        <w:spacing w:after="0" w:line="236" w:lineRule="exact"/>
        <w:rPr>
          <w:sz w:val="20"/>
          <w:szCs w:val="20"/>
          <w:color w:val="auto"/>
        </w:rPr>
      </w:pPr>
    </w:p>
    <w:p>
      <w:pPr>
        <w:ind w:left="1000"/>
        <w:spacing w:after="0" w:line="388" w:lineRule="exact"/>
        <w:rPr>
          <w:sz w:val="20"/>
          <w:szCs w:val="20"/>
          <w:color w:val="auto"/>
        </w:rPr>
      </w:pPr>
      <w:r>
        <w:rPr>
          <w:rFonts w:ascii="Arial" w:cs="Arial" w:eastAsia="Arial" w:hAnsi="Arial"/>
          <w:sz w:val="32"/>
          <w:szCs w:val="32"/>
          <w:color w:val="auto"/>
        </w:rPr>
        <w:t>1)</w:t>
      </w:r>
      <w:r>
        <w:rPr>
          <w:rFonts w:ascii="宋体" w:cs="宋体" w:eastAsia="宋体" w:hAnsi="宋体"/>
          <w:sz w:val="32"/>
          <w:szCs w:val="32"/>
          <w:color w:val="auto"/>
        </w:rPr>
        <w:t>其他负债的种类、形成原因、企业确认依据等。</w:t>
      </w:r>
    </w:p>
    <w:p>
      <w:pPr>
        <w:spacing w:after="0" w:line="236" w:lineRule="exact"/>
        <w:rPr>
          <w:sz w:val="20"/>
          <w:szCs w:val="20"/>
          <w:color w:val="auto"/>
        </w:rPr>
      </w:pPr>
    </w:p>
    <w:p>
      <w:pPr>
        <w:ind w:left="1000"/>
        <w:spacing w:after="0" w:line="388" w:lineRule="exact"/>
        <w:rPr>
          <w:sz w:val="20"/>
          <w:szCs w:val="20"/>
          <w:color w:val="auto"/>
        </w:rPr>
      </w:pPr>
      <w:r>
        <w:rPr>
          <w:rFonts w:ascii="Arial" w:cs="Arial" w:eastAsia="Arial" w:hAnsi="Arial"/>
          <w:sz w:val="32"/>
          <w:szCs w:val="32"/>
          <w:color w:val="auto"/>
        </w:rPr>
        <w:t>2)</w:t>
      </w:r>
      <w:r>
        <w:rPr>
          <w:rFonts w:ascii="宋体" w:cs="宋体" w:eastAsia="宋体" w:hAnsi="宋体"/>
          <w:sz w:val="32"/>
          <w:szCs w:val="32"/>
          <w:color w:val="auto"/>
        </w:rPr>
        <w:t>其他负债核实的方法和结论。</w:t>
      </w:r>
    </w:p>
    <w:p>
      <w:pPr>
        <w:spacing w:after="0" w:line="236" w:lineRule="exact"/>
        <w:rPr>
          <w:sz w:val="20"/>
          <w:szCs w:val="20"/>
          <w:color w:val="auto"/>
        </w:rPr>
      </w:pPr>
    </w:p>
    <w:p>
      <w:pPr>
        <w:ind w:left="1000"/>
        <w:spacing w:after="0" w:line="388" w:lineRule="exact"/>
        <w:rPr>
          <w:sz w:val="20"/>
          <w:szCs w:val="20"/>
          <w:color w:val="auto"/>
        </w:rPr>
      </w:pPr>
      <w:r>
        <w:rPr>
          <w:rFonts w:ascii="Arial" w:cs="Arial" w:eastAsia="Arial" w:hAnsi="Arial"/>
          <w:sz w:val="32"/>
          <w:szCs w:val="32"/>
          <w:color w:val="auto"/>
        </w:rPr>
        <w:t>3)</w:t>
      </w:r>
      <w:r>
        <w:rPr>
          <w:rFonts w:ascii="宋体" w:cs="宋体" w:eastAsia="宋体" w:hAnsi="宋体"/>
          <w:sz w:val="32"/>
          <w:szCs w:val="32"/>
          <w:color w:val="auto"/>
        </w:rPr>
        <w:t>其他负债评估值的确定方法和结论。</w:t>
      </w:r>
    </w:p>
    <w:p>
      <w:pPr>
        <w:spacing w:after="0" w:line="270" w:lineRule="exact"/>
        <w:rPr>
          <w:sz w:val="20"/>
          <w:szCs w:val="20"/>
          <w:color w:val="auto"/>
        </w:rPr>
      </w:pPr>
    </w:p>
    <w:p>
      <w:pPr>
        <w:ind w:left="1000"/>
        <w:spacing w:after="0" w:line="354" w:lineRule="exact"/>
        <w:rPr>
          <w:sz w:val="20"/>
          <w:szCs w:val="20"/>
          <w:color w:val="auto"/>
        </w:rPr>
      </w:pPr>
      <w:r>
        <w:rPr>
          <w:rFonts w:ascii="宋体" w:cs="宋体" w:eastAsia="宋体" w:hAnsi="宋体"/>
          <w:sz w:val="31"/>
          <w:szCs w:val="31"/>
          <w:color w:val="auto"/>
        </w:rPr>
        <w:t>（三）证券公司资产基础法评估技术说明编写内容指引</w:t>
      </w:r>
    </w:p>
    <w:p>
      <w:pPr>
        <w:spacing w:after="0" w:line="270" w:lineRule="exact"/>
        <w:rPr>
          <w:sz w:val="20"/>
          <w:szCs w:val="20"/>
          <w:color w:val="auto"/>
        </w:rPr>
      </w:pPr>
    </w:p>
    <w:p>
      <w:pPr>
        <w:ind w:left="1000"/>
        <w:spacing w:after="0" w:line="354" w:lineRule="exact"/>
        <w:rPr>
          <w:sz w:val="20"/>
          <w:szCs w:val="20"/>
          <w:color w:val="auto"/>
        </w:rPr>
      </w:pPr>
      <w:r>
        <w:rPr>
          <w:rFonts w:ascii="宋体" w:cs="宋体" w:eastAsia="宋体" w:hAnsi="宋体"/>
          <w:sz w:val="31"/>
          <w:szCs w:val="31"/>
          <w:color w:val="auto"/>
        </w:rPr>
        <w:t>证券公司部分科目的评估方法与银行相同，证券公司专</w:t>
      </w:r>
    </w:p>
    <w:p>
      <w:pPr>
        <w:spacing w:after="0" w:line="260"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用科目的评估技术说明编写内容指引如下。</w:t>
      </w:r>
    </w:p>
    <w:p>
      <w:pPr>
        <w:spacing w:after="0" w:line="236" w:lineRule="exact"/>
        <w:rPr>
          <w:sz w:val="20"/>
          <w:szCs w:val="20"/>
          <w:color w:val="auto"/>
        </w:rPr>
      </w:pPr>
    </w:p>
    <w:p>
      <w:pPr>
        <w:ind w:left="1000"/>
        <w:spacing w:after="0" w:line="388" w:lineRule="exact"/>
        <w:rPr>
          <w:sz w:val="20"/>
          <w:szCs w:val="20"/>
          <w:color w:val="auto"/>
        </w:rPr>
      </w:pPr>
      <w:r>
        <w:rPr>
          <w:rFonts w:ascii="Arial" w:cs="Arial" w:eastAsia="Arial" w:hAnsi="Arial"/>
          <w:sz w:val="32"/>
          <w:szCs w:val="32"/>
          <w:color w:val="auto"/>
        </w:rPr>
        <w:t>1.</w:t>
      </w:r>
      <w:r>
        <w:rPr>
          <w:rFonts w:ascii="宋体" w:cs="宋体" w:eastAsia="宋体" w:hAnsi="宋体"/>
          <w:sz w:val="32"/>
          <w:szCs w:val="32"/>
          <w:color w:val="auto"/>
        </w:rPr>
        <w:t>存出保证金</w:t>
      </w:r>
    </w:p>
    <w:p>
      <w:pPr>
        <w:spacing w:after="0" w:line="236" w:lineRule="exact"/>
        <w:rPr>
          <w:sz w:val="20"/>
          <w:szCs w:val="20"/>
          <w:color w:val="auto"/>
        </w:rPr>
      </w:pPr>
    </w:p>
    <w:p>
      <w:pPr>
        <w:ind w:left="1000"/>
        <w:spacing w:after="0" w:line="388" w:lineRule="exact"/>
        <w:rPr>
          <w:sz w:val="20"/>
          <w:szCs w:val="20"/>
          <w:color w:val="auto"/>
        </w:rPr>
      </w:pPr>
      <w:r>
        <w:rPr>
          <w:rFonts w:ascii="宋体" w:cs="宋体" w:eastAsia="宋体" w:hAnsi="宋体"/>
          <w:sz w:val="32"/>
          <w:szCs w:val="32"/>
          <w:color w:val="auto"/>
        </w:rPr>
        <w:t>（</w:t>
      </w:r>
      <w:r>
        <w:rPr>
          <w:rFonts w:ascii="Arial" w:cs="Arial" w:eastAsia="Arial" w:hAnsi="Arial"/>
          <w:sz w:val="32"/>
          <w:szCs w:val="32"/>
          <w:color w:val="auto"/>
        </w:rPr>
        <w:t>1</w:t>
      </w:r>
      <w:r>
        <w:rPr>
          <w:rFonts w:ascii="宋体" w:cs="宋体" w:eastAsia="宋体" w:hAnsi="宋体"/>
          <w:sz w:val="32"/>
          <w:szCs w:val="32"/>
          <w:color w:val="auto"/>
        </w:rPr>
        <w:t>）存出保证金类别。</w:t>
      </w:r>
    </w:p>
    <w:p>
      <w:pPr>
        <w:sectPr>
          <w:pgSz w:w="11900" w:h="16838" w:orient="portrait"/>
          <w:cols w:equalWidth="0" w:num="1">
            <w:col w:w="9026"/>
          </w:cols>
          <w:pgMar w:left="1440" w:top="1440" w:right="1440" w:bottom="1440" w:gutter="0" w:footer="0" w:header="0"/>
        </w:sectPr>
      </w:pPr>
    </w:p>
    <w:bookmarkStart w:id="50" w:name="page51"/>
    <w:bookmarkEnd w:id="50"/>
    <w:p>
      <w:pPr>
        <w:spacing w:after="0" w:line="81" w:lineRule="exact"/>
        <w:rPr>
          <w:sz w:val="20"/>
          <w:szCs w:val="20"/>
          <w:color w:val="auto"/>
        </w:rPr>
      </w:pPr>
    </w:p>
    <w:p>
      <w:pPr>
        <w:ind w:left="1000"/>
        <w:spacing w:after="0" w:line="388" w:lineRule="exact"/>
        <w:rPr>
          <w:sz w:val="20"/>
          <w:szCs w:val="20"/>
          <w:color w:val="auto"/>
        </w:rPr>
      </w:pPr>
      <w:r>
        <w:rPr>
          <w:rFonts w:ascii="宋体" w:cs="宋体" w:eastAsia="宋体" w:hAnsi="宋体"/>
          <w:sz w:val="32"/>
          <w:szCs w:val="32"/>
          <w:color w:val="auto"/>
        </w:rPr>
        <w:t>（</w:t>
      </w:r>
      <w:r>
        <w:rPr>
          <w:rFonts w:ascii="Arial" w:cs="Arial" w:eastAsia="Arial" w:hAnsi="Arial"/>
          <w:sz w:val="32"/>
          <w:szCs w:val="32"/>
          <w:color w:val="auto"/>
        </w:rPr>
        <w:t>2</w:t>
      </w:r>
      <w:r>
        <w:rPr>
          <w:rFonts w:ascii="宋体" w:cs="宋体" w:eastAsia="宋体" w:hAnsi="宋体"/>
          <w:sz w:val="32"/>
          <w:szCs w:val="32"/>
          <w:color w:val="auto"/>
        </w:rPr>
        <w:t>）存出保证金核实的方法和结论。</w:t>
      </w:r>
    </w:p>
    <w:p>
      <w:pPr>
        <w:spacing w:after="0" w:line="237" w:lineRule="exact"/>
        <w:rPr>
          <w:sz w:val="20"/>
          <w:szCs w:val="20"/>
          <w:color w:val="auto"/>
        </w:rPr>
      </w:pPr>
    </w:p>
    <w:p>
      <w:pPr>
        <w:ind w:left="1000"/>
        <w:spacing w:after="0" w:line="388" w:lineRule="exact"/>
        <w:rPr>
          <w:sz w:val="20"/>
          <w:szCs w:val="20"/>
          <w:color w:val="auto"/>
        </w:rPr>
      </w:pPr>
      <w:r>
        <w:rPr>
          <w:rFonts w:ascii="宋体" w:cs="宋体" w:eastAsia="宋体" w:hAnsi="宋体"/>
          <w:sz w:val="32"/>
          <w:szCs w:val="32"/>
          <w:color w:val="auto"/>
        </w:rPr>
        <w:t>（</w:t>
      </w:r>
      <w:r>
        <w:rPr>
          <w:rFonts w:ascii="Arial" w:cs="Arial" w:eastAsia="Arial" w:hAnsi="Arial"/>
          <w:sz w:val="32"/>
          <w:szCs w:val="32"/>
          <w:color w:val="auto"/>
        </w:rPr>
        <w:t>3</w:t>
      </w:r>
      <w:r>
        <w:rPr>
          <w:rFonts w:ascii="宋体" w:cs="宋体" w:eastAsia="宋体" w:hAnsi="宋体"/>
          <w:sz w:val="32"/>
          <w:szCs w:val="32"/>
          <w:color w:val="auto"/>
        </w:rPr>
        <w:t>）存出保证金评估值的确定方法和结论。</w:t>
      </w:r>
    </w:p>
    <w:p>
      <w:pPr>
        <w:spacing w:after="0" w:line="236" w:lineRule="exact"/>
        <w:rPr>
          <w:sz w:val="20"/>
          <w:szCs w:val="20"/>
          <w:color w:val="auto"/>
        </w:rPr>
      </w:pPr>
    </w:p>
    <w:p>
      <w:pPr>
        <w:ind w:left="1000"/>
        <w:spacing w:after="0" w:line="388" w:lineRule="exact"/>
        <w:rPr>
          <w:sz w:val="20"/>
          <w:szCs w:val="20"/>
          <w:color w:val="auto"/>
        </w:rPr>
      </w:pPr>
      <w:r>
        <w:rPr>
          <w:rFonts w:ascii="Arial" w:cs="Arial" w:eastAsia="Arial" w:hAnsi="Arial"/>
          <w:sz w:val="32"/>
          <w:szCs w:val="32"/>
          <w:color w:val="auto"/>
        </w:rPr>
        <w:t>2</w:t>
      </w:r>
      <w:r>
        <w:rPr>
          <w:rFonts w:ascii="宋体" w:cs="宋体" w:eastAsia="宋体" w:hAnsi="宋体"/>
          <w:sz w:val="32"/>
          <w:szCs w:val="32"/>
          <w:color w:val="auto"/>
        </w:rPr>
        <w:t>．结算备付金</w:t>
      </w:r>
    </w:p>
    <w:p>
      <w:pPr>
        <w:spacing w:after="0" w:line="236" w:lineRule="exact"/>
        <w:rPr>
          <w:sz w:val="20"/>
          <w:szCs w:val="20"/>
          <w:color w:val="auto"/>
        </w:rPr>
      </w:pPr>
    </w:p>
    <w:p>
      <w:pPr>
        <w:ind w:left="1000"/>
        <w:spacing w:after="0" w:line="388" w:lineRule="exact"/>
        <w:rPr>
          <w:sz w:val="20"/>
          <w:szCs w:val="20"/>
          <w:color w:val="auto"/>
        </w:rPr>
      </w:pPr>
      <w:r>
        <w:rPr>
          <w:rFonts w:ascii="宋体" w:cs="宋体" w:eastAsia="宋体" w:hAnsi="宋体"/>
          <w:sz w:val="32"/>
          <w:szCs w:val="32"/>
          <w:color w:val="auto"/>
        </w:rPr>
        <w:t>（</w:t>
      </w:r>
      <w:r>
        <w:rPr>
          <w:rFonts w:ascii="Arial" w:cs="Arial" w:eastAsia="Arial" w:hAnsi="Arial"/>
          <w:sz w:val="32"/>
          <w:szCs w:val="32"/>
          <w:color w:val="auto"/>
        </w:rPr>
        <w:t>1</w:t>
      </w:r>
      <w:r>
        <w:rPr>
          <w:rFonts w:ascii="宋体" w:cs="宋体" w:eastAsia="宋体" w:hAnsi="宋体"/>
          <w:sz w:val="32"/>
          <w:szCs w:val="32"/>
          <w:color w:val="auto"/>
        </w:rPr>
        <w:t>）结算备付金的账面金额及明细分类。</w:t>
      </w:r>
    </w:p>
    <w:p>
      <w:pPr>
        <w:spacing w:after="0" w:line="236" w:lineRule="exact"/>
        <w:rPr>
          <w:sz w:val="20"/>
          <w:szCs w:val="20"/>
          <w:color w:val="auto"/>
        </w:rPr>
      </w:pPr>
    </w:p>
    <w:p>
      <w:pPr>
        <w:ind w:left="1000"/>
        <w:spacing w:after="0" w:line="388" w:lineRule="exact"/>
        <w:rPr>
          <w:sz w:val="20"/>
          <w:szCs w:val="20"/>
          <w:color w:val="auto"/>
        </w:rPr>
      </w:pPr>
      <w:r>
        <w:rPr>
          <w:rFonts w:ascii="宋体" w:cs="宋体" w:eastAsia="宋体" w:hAnsi="宋体"/>
          <w:sz w:val="32"/>
          <w:szCs w:val="32"/>
          <w:color w:val="auto"/>
        </w:rPr>
        <w:t>（</w:t>
      </w:r>
      <w:r>
        <w:rPr>
          <w:rFonts w:ascii="Arial" w:cs="Arial" w:eastAsia="Arial" w:hAnsi="Arial"/>
          <w:sz w:val="32"/>
          <w:szCs w:val="32"/>
          <w:color w:val="auto"/>
        </w:rPr>
        <w:t>2</w:t>
      </w:r>
      <w:r>
        <w:rPr>
          <w:rFonts w:ascii="宋体" w:cs="宋体" w:eastAsia="宋体" w:hAnsi="宋体"/>
          <w:sz w:val="32"/>
          <w:szCs w:val="32"/>
          <w:color w:val="auto"/>
        </w:rPr>
        <w:t>）结算备付金核实的方法和结论。</w:t>
      </w:r>
    </w:p>
    <w:p>
      <w:pPr>
        <w:spacing w:after="0" w:line="236" w:lineRule="exact"/>
        <w:rPr>
          <w:sz w:val="20"/>
          <w:szCs w:val="20"/>
          <w:color w:val="auto"/>
        </w:rPr>
      </w:pPr>
    </w:p>
    <w:p>
      <w:pPr>
        <w:ind w:left="1000"/>
        <w:spacing w:after="0" w:line="388" w:lineRule="exact"/>
        <w:rPr>
          <w:sz w:val="20"/>
          <w:szCs w:val="20"/>
          <w:color w:val="auto"/>
        </w:rPr>
      </w:pPr>
      <w:r>
        <w:rPr>
          <w:rFonts w:ascii="宋体" w:cs="宋体" w:eastAsia="宋体" w:hAnsi="宋体"/>
          <w:sz w:val="32"/>
          <w:szCs w:val="32"/>
          <w:color w:val="auto"/>
        </w:rPr>
        <w:t>（</w:t>
      </w:r>
      <w:r>
        <w:rPr>
          <w:rFonts w:ascii="Arial" w:cs="Arial" w:eastAsia="Arial" w:hAnsi="Arial"/>
          <w:sz w:val="32"/>
          <w:szCs w:val="32"/>
          <w:color w:val="auto"/>
        </w:rPr>
        <w:t>3</w:t>
      </w:r>
      <w:r>
        <w:rPr>
          <w:rFonts w:ascii="宋体" w:cs="宋体" w:eastAsia="宋体" w:hAnsi="宋体"/>
          <w:sz w:val="32"/>
          <w:szCs w:val="32"/>
          <w:color w:val="auto"/>
        </w:rPr>
        <w:t>）结算备付金评估值的确定方法和结论。</w:t>
      </w:r>
    </w:p>
    <w:p>
      <w:pPr>
        <w:spacing w:after="0" w:line="236" w:lineRule="exact"/>
        <w:rPr>
          <w:sz w:val="20"/>
          <w:szCs w:val="20"/>
          <w:color w:val="auto"/>
        </w:rPr>
      </w:pPr>
    </w:p>
    <w:p>
      <w:pPr>
        <w:ind w:left="1000"/>
        <w:spacing w:after="0" w:line="388" w:lineRule="exact"/>
        <w:rPr>
          <w:sz w:val="20"/>
          <w:szCs w:val="20"/>
          <w:color w:val="auto"/>
        </w:rPr>
      </w:pPr>
      <w:r>
        <w:rPr>
          <w:rFonts w:ascii="Arial" w:cs="Arial" w:eastAsia="Arial" w:hAnsi="Arial"/>
          <w:sz w:val="32"/>
          <w:szCs w:val="32"/>
          <w:color w:val="auto"/>
        </w:rPr>
        <w:t>3</w:t>
      </w:r>
      <w:r>
        <w:rPr>
          <w:rFonts w:ascii="宋体" w:cs="宋体" w:eastAsia="宋体" w:hAnsi="宋体"/>
          <w:sz w:val="32"/>
          <w:szCs w:val="32"/>
          <w:color w:val="auto"/>
        </w:rPr>
        <w:t>．其他资产</w:t>
      </w:r>
    </w:p>
    <w:p>
      <w:pPr>
        <w:spacing w:after="0" w:line="237" w:lineRule="exact"/>
        <w:rPr>
          <w:sz w:val="20"/>
          <w:szCs w:val="20"/>
          <w:color w:val="auto"/>
        </w:rPr>
      </w:pPr>
    </w:p>
    <w:p>
      <w:pPr>
        <w:ind w:left="1000"/>
        <w:spacing w:after="0" w:line="388" w:lineRule="exact"/>
        <w:rPr>
          <w:sz w:val="20"/>
          <w:szCs w:val="20"/>
          <w:color w:val="auto"/>
        </w:rPr>
      </w:pPr>
      <w:r>
        <w:rPr>
          <w:rFonts w:ascii="宋体" w:cs="宋体" w:eastAsia="宋体" w:hAnsi="宋体"/>
          <w:sz w:val="32"/>
          <w:szCs w:val="32"/>
          <w:color w:val="auto"/>
        </w:rPr>
        <w:t>（</w:t>
      </w:r>
      <w:r>
        <w:rPr>
          <w:rFonts w:ascii="Arial" w:cs="Arial" w:eastAsia="Arial" w:hAnsi="Arial"/>
          <w:sz w:val="32"/>
          <w:szCs w:val="32"/>
          <w:color w:val="auto"/>
        </w:rPr>
        <w:t>1</w:t>
      </w:r>
      <w:r>
        <w:rPr>
          <w:rFonts w:ascii="宋体" w:cs="宋体" w:eastAsia="宋体" w:hAnsi="宋体"/>
          <w:sz w:val="32"/>
          <w:szCs w:val="32"/>
          <w:color w:val="auto"/>
        </w:rPr>
        <w:t>）代理兑付证券、代理业务资产</w:t>
      </w:r>
    </w:p>
    <w:p>
      <w:pPr>
        <w:spacing w:after="0" w:line="236" w:lineRule="exact"/>
        <w:rPr>
          <w:sz w:val="20"/>
          <w:szCs w:val="20"/>
          <w:color w:val="auto"/>
        </w:rPr>
      </w:pPr>
    </w:p>
    <w:p>
      <w:pPr>
        <w:ind w:left="1000"/>
        <w:spacing w:after="0" w:line="388" w:lineRule="exact"/>
        <w:rPr>
          <w:sz w:val="20"/>
          <w:szCs w:val="20"/>
          <w:color w:val="auto"/>
        </w:rPr>
      </w:pPr>
      <w:r>
        <w:rPr>
          <w:rFonts w:ascii="Arial" w:cs="Arial" w:eastAsia="Arial" w:hAnsi="Arial"/>
          <w:sz w:val="32"/>
          <w:szCs w:val="32"/>
          <w:color w:val="auto"/>
        </w:rPr>
        <w:t>1)</w:t>
      </w:r>
      <w:r>
        <w:rPr>
          <w:rFonts w:ascii="宋体" w:cs="宋体" w:eastAsia="宋体" w:hAnsi="宋体"/>
          <w:sz w:val="32"/>
          <w:szCs w:val="32"/>
          <w:color w:val="auto"/>
        </w:rPr>
        <w:t>代理兑付证券、代理业务资产相关合同情况。</w:t>
      </w:r>
    </w:p>
    <w:p>
      <w:pPr>
        <w:spacing w:after="0" w:line="236" w:lineRule="exact"/>
        <w:rPr>
          <w:sz w:val="20"/>
          <w:szCs w:val="20"/>
          <w:color w:val="auto"/>
        </w:rPr>
      </w:pPr>
    </w:p>
    <w:p>
      <w:pPr>
        <w:ind w:left="1000"/>
        <w:spacing w:after="0" w:line="388" w:lineRule="exact"/>
        <w:rPr>
          <w:sz w:val="20"/>
          <w:szCs w:val="20"/>
          <w:color w:val="auto"/>
        </w:rPr>
      </w:pPr>
      <w:r>
        <w:rPr>
          <w:rFonts w:ascii="Arial" w:cs="Arial" w:eastAsia="Arial" w:hAnsi="Arial"/>
          <w:sz w:val="32"/>
          <w:szCs w:val="32"/>
          <w:color w:val="auto"/>
        </w:rPr>
        <w:t>2)</w:t>
      </w:r>
      <w:r>
        <w:rPr>
          <w:rFonts w:ascii="宋体" w:cs="宋体" w:eastAsia="宋体" w:hAnsi="宋体"/>
          <w:sz w:val="32"/>
          <w:szCs w:val="32"/>
          <w:color w:val="auto"/>
        </w:rPr>
        <w:t>代理兑付证券、代理业务资产核实的方法和结论。</w:t>
      </w:r>
    </w:p>
    <w:p>
      <w:pPr>
        <w:spacing w:after="0" w:line="236" w:lineRule="exact"/>
        <w:rPr>
          <w:sz w:val="20"/>
          <w:szCs w:val="20"/>
          <w:color w:val="auto"/>
        </w:rPr>
      </w:pPr>
    </w:p>
    <w:p>
      <w:pPr>
        <w:ind w:left="1000"/>
        <w:spacing w:after="0" w:line="388" w:lineRule="exact"/>
        <w:rPr>
          <w:sz w:val="20"/>
          <w:szCs w:val="20"/>
          <w:color w:val="auto"/>
        </w:rPr>
      </w:pPr>
      <w:r>
        <w:rPr>
          <w:rFonts w:ascii="Arial" w:cs="Arial" w:eastAsia="Arial" w:hAnsi="Arial"/>
          <w:sz w:val="32"/>
          <w:szCs w:val="32"/>
          <w:color w:val="auto"/>
        </w:rPr>
        <w:t>3)</w:t>
      </w:r>
      <w:r>
        <w:rPr>
          <w:rFonts w:ascii="宋体" w:cs="宋体" w:eastAsia="宋体" w:hAnsi="宋体"/>
          <w:sz w:val="32"/>
          <w:szCs w:val="32"/>
          <w:color w:val="auto"/>
        </w:rPr>
        <w:t>代理兑付证券、代理业务资产评估值的确定方法和结</w:t>
      </w:r>
    </w:p>
    <w:p>
      <w:pPr>
        <w:spacing w:after="0" w:line="259"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论。</w:t>
      </w:r>
    </w:p>
    <w:p>
      <w:pPr>
        <w:spacing w:after="0" w:line="236" w:lineRule="exact"/>
        <w:rPr>
          <w:sz w:val="20"/>
          <w:szCs w:val="20"/>
          <w:color w:val="auto"/>
        </w:rPr>
      </w:pPr>
    </w:p>
    <w:p>
      <w:pPr>
        <w:ind w:left="1000"/>
        <w:spacing w:after="0" w:line="388" w:lineRule="exact"/>
        <w:rPr>
          <w:sz w:val="20"/>
          <w:szCs w:val="20"/>
          <w:color w:val="auto"/>
        </w:rPr>
      </w:pPr>
      <w:r>
        <w:rPr>
          <w:rFonts w:ascii="宋体" w:cs="宋体" w:eastAsia="宋体" w:hAnsi="宋体"/>
          <w:sz w:val="32"/>
          <w:szCs w:val="32"/>
          <w:color w:val="auto"/>
        </w:rPr>
        <w:t>（</w:t>
      </w:r>
      <w:r>
        <w:rPr>
          <w:rFonts w:ascii="Arial" w:cs="Arial" w:eastAsia="Arial" w:hAnsi="Arial"/>
          <w:sz w:val="32"/>
          <w:szCs w:val="32"/>
          <w:color w:val="auto"/>
        </w:rPr>
        <w:t>2</w:t>
      </w:r>
      <w:r>
        <w:rPr>
          <w:rFonts w:ascii="宋体" w:cs="宋体" w:eastAsia="宋体" w:hAnsi="宋体"/>
          <w:sz w:val="32"/>
          <w:szCs w:val="32"/>
          <w:color w:val="auto"/>
        </w:rPr>
        <w:t>）上述资产以外的其他资产</w:t>
      </w:r>
    </w:p>
    <w:p>
      <w:pPr>
        <w:spacing w:after="0" w:line="237" w:lineRule="exact"/>
        <w:rPr>
          <w:sz w:val="20"/>
          <w:szCs w:val="20"/>
          <w:color w:val="auto"/>
        </w:rPr>
      </w:pPr>
    </w:p>
    <w:p>
      <w:pPr>
        <w:ind w:left="1000"/>
        <w:spacing w:after="0" w:line="388" w:lineRule="exact"/>
        <w:rPr>
          <w:sz w:val="20"/>
          <w:szCs w:val="20"/>
          <w:color w:val="auto"/>
        </w:rPr>
      </w:pPr>
      <w:r>
        <w:rPr>
          <w:rFonts w:ascii="Arial" w:cs="Arial" w:eastAsia="Arial" w:hAnsi="Arial"/>
          <w:sz w:val="32"/>
          <w:szCs w:val="32"/>
          <w:color w:val="auto"/>
        </w:rPr>
        <w:t>1)</w:t>
      </w:r>
      <w:r>
        <w:rPr>
          <w:rFonts w:ascii="宋体" w:cs="宋体" w:eastAsia="宋体" w:hAnsi="宋体"/>
          <w:sz w:val="32"/>
          <w:szCs w:val="32"/>
          <w:color w:val="auto"/>
        </w:rPr>
        <w:t>其他资产的内容、种类及形成原因等。</w:t>
      </w:r>
    </w:p>
    <w:p>
      <w:pPr>
        <w:spacing w:after="0" w:line="236" w:lineRule="exact"/>
        <w:rPr>
          <w:sz w:val="20"/>
          <w:szCs w:val="20"/>
          <w:color w:val="auto"/>
        </w:rPr>
      </w:pPr>
    </w:p>
    <w:p>
      <w:pPr>
        <w:ind w:left="1000"/>
        <w:spacing w:after="0" w:line="388" w:lineRule="exact"/>
        <w:rPr>
          <w:sz w:val="20"/>
          <w:szCs w:val="20"/>
          <w:color w:val="auto"/>
        </w:rPr>
      </w:pPr>
      <w:r>
        <w:rPr>
          <w:rFonts w:ascii="Arial" w:cs="Arial" w:eastAsia="Arial" w:hAnsi="Arial"/>
          <w:sz w:val="32"/>
          <w:szCs w:val="32"/>
          <w:color w:val="auto"/>
        </w:rPr>
        <w:t>2)</w:t>
      </w:r>
      <w:r>
        <w:rPr>
          <w:rFonts w:ascii="宋体" w:cs="宋体" w:eastAsia="宋体" w:hAnsi="宋体"/>
          <w:sz w:val="32"/>
          <w:szCs w:val="32"/>
          <w:color w:val="auto"/>
        </w:rPr>
        <w:t>其他资产核实的方法和结论。</w:t>
      </w:r>
    </w:p>
    <w:p>
      <w:pPr>
        <w:spacing w:after="0" w:line="236" w:lineRule="exact"/>
        <w:rPr>
          <w:sz w:val="20"/>
          <w:szCs w:val="20"/>
          <w:color w:val="auto"/>
        </w:rPr>
      </w:pPr>
    </w:p>
    <w:p>
      <w:pPr>
        <w:ind w:left="1000"/>
        <w:spacing w:after="0" w:line="388" w:lineRule="exact"/>
        <w:rPr>
          <w:sz w:val="20"/>
          <w:szCs w:val="20"/>
          <w:color w:val="auto"/>
        </w:rPr>
      </w:pPr>
      <w:r>
        <w:rPr>
          <w:rFonts w:ascii="Arial" w:cs="Arial" w:eastAsia="Arial" w:hAnsi="Arial"/>
          <w:sz w:val="32"/>
          <w:szCs w:val="32"/>
          <w:color w:val="auto"/>
        </w:rPr>
        <w:t>3)</w:t>
      </w:r>
      <w:r>
        <w:rPr>
          <w:rFonts w:ascii="宋体" w:cs="宋体" w:eastAsia="宋体" w:hAnsi="宋体"/>
          <w:sz w:val="32"/>
          <w:szCs w:val="32"/>
          <w:color w:val="auto"/>
        </w:rPr>
        <w:t>其他资产评估值的确定方法和结论。</w:t>
      </w:r>
    </w:p>
    <w:p>
      <w:pPr>
        <w:spacing w:after="0" w:line="236" w:lineRule="exact"/>
        <w:rPr>
          <w:sz w:val="20"/>
          <w:szCs w:val="20"/>
          <w:color w:val="auto"/>
        </w:rPr>
      </w:pPr>
    </w:p>
    <w:p>
      <w:pPr>
        <w:ind w:left="1000"/>
        <w:spacing w:after="0" w:line="388" w:lineRule="exact"/>
        <w:rPr>
          <w:sz w:val="20"/>
          <w:szCs w:val="20"/>
          <w:color w:val="auto"/>
        </w:rPr>
      </w:pPr>
      <w:r>
        <w:rPr>
          <w:rFonts w:ascii="Arial" w:cs="Arial" w:eastAsia="Arial" w:hAnsi="Arial"/>
          <w:sz w:val="32"/>
          <w:szCs w:val="32"/>
          <w:color w:val="auto"/>
        </w:rPr>
        <w:t>4.</w:t>
      </w:r>
      <w:r>
        <w:rPr>
          <w:rFonts w:ascii="宋体" w:cs="宋体" w:eastAsia="宋体" w:hAnsi="宋体"/>
          <w:sz w:val="32"/>
          <w:szCs w:val="32"/>
          <w:color w:val="auto"/>
        </w:rPr>
        <w:t>代理买卖证券款、代理承销证券款</w:t>
      </w:r>
    </w:p>
    <w:p>
      <w:pPr>
        <w:spacing w:after="0" w:line="236" w:lineRule="exact"/>
        <w:rPr>
          <w:sz w:val="20"/>
          <w:szCs w:val="20"/>
          <w:color w:val="auto"/>
        </w:rPr>
      </w:pPr>
    </w:p>
    <w:p>
      <w:pPr>
        <w:ind w:left="1000"/>
        <w:spacing w:after="0" w:line="388" w:lineRule="exact"/>
        <w:rPr>
          <w:sz w:val="20"/>
          <w:szCs w:val="20"/>
          <w:color w:val="auto"/>
        </w:rPr>
      </w:pPr>
      <w:r>
        <w:rPr>
          <w:rFonts w:ascii="宋体" w:cs="宋体" w:eastAsia="宋体" w:hAnsi="宋体"/>
          <w:sz w:val="32"/>
          <w:szCs w:val="32"/>
          <w:color w:val="auto"/>
        </w:rPr>
        <w:t>（</w:t>
      </w:r>
      <w:r>
        <w:rPr>
          <w:rFonts w:ascii="Arial" w:cs="Arial" w:eastAsia="Arial" w:hAnsi="Arial"/>
          <w:sz w:val="32"/>
          <w:szCs w:val="32"/>
          <w:color w:val="auto"/>
        </w:rPr>
        <w:t>1</w:t>
      </w:r>
      <w:r>
        <w:rPr>
          <w:rFonts w:ascii="宋体" w:cs="宋体" w:eastAsia="宋体" w:hAnsi="宋体"/>
          <w:sz w:val="32"/>
          <w:szCs w:val="32"/>
          <w:color w:val="auto"/>
        </w:rPr>
        <w:t>）代理买卖证券款、代理承销证券款的资产类别。</w:t>
      </w:r>
    </w:p>
    <w:p>
      <w:pPr>
        <w:spacing w:after="0" w:line="236" w:lineRule="exact"/>
        <w:rPr>
          <w:sz w:val="20"/>
          <w:szCs w:val="20"/>
          <w:color w:val="auto"/>
        </w:rPr>
      </w:pPr>
    </w:p>
    <w:p>
      <w:pPr>
        <w:ind w:left="1000"/>
        <w:spacing w:after="0" w:line="388" w:lineRule="exact"/>
        <w:rPr>
          <w:sz w:val="20"/>
          <w:szCs w:val="20"/>
          <w:color w:val="auto"/>
        </w:rPr>
      </w:pPr>
      <w:r>
        <w:rPr>
          <w:rFonts w:ascii="宋体" w:cs="宋体" w:eastAsia="宋体" w:hAnsi="宋体"/>
          <w:sz w:val="32"/>
          <w:szCs w:val="32"/>
          <w:color w:val="auto"/>
        </w:rPr>
        <w:t>（</w:t>
      </w:r>
      <w:r>
        <w:rPr>
          <w:rFonts w:ascii="Arial" w:cs="Arial" w:eastAsia="Arial" w:hAnsi="Arial"/>
          <w:sz w:val="32"/>
          <w:szCs w:val="32"/>
          <w:color w:val="auto"/>
        </w:rPr>
        <w:t>2</w:t>
      </w:r>
      <w:r>
        <w:rPr>
          <w:rFonts w:ascii="宋体" w:cs="宋体" w:eastAsia="宋体" w:hAnsi="宋体"/>
          <w:sz w:val="32"/>
          <w:szCs w:val="32"/>
          <w:color w:val="auto"/>
        </w:rPr>
        <w:t>）代理买卖证券款、代理承销证券款核实的方法和</w:t>
      </w:r>
    </w:p>
    <w:p>
      <w:pPr>
        <w:spacing w:after="0" w:line="260"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结论。</w:t>
      </w:r>
    </w:p>
    <w:p>
      <w:pPr>
        <w:spacing w:after="0" w:line="236" w:lineRule="exact"/>
        <w:rPr>
          <w:sz w:val="20"/>
          <w:szCs w:val="20"/>
          <w:color w:val="auto"/>
        </w:rPr>
      </w:pPr>
    </w:p>
    <w:p>
      <w:pPr>
        <w:ind w:left="1000"/>
        <w:spacing w:after="0" w:line="388" w:lineRule="exact"/>
        <w:rPr>
          <w:sz w:val="20"/>
          <w:szCs w:val="20"/>
          <w:color w:val="auto"/>
        </w:rPr>
      </w:pPr>
      <w:r>
        <w:rPr>
          <w:rFonts w:ascii="宋体" w:cs="宋体" w:eastAsia="宋体" w:hAnsi="宋体"/>
          <w:sz w:val="32"/>
          <w:szCs w:val="32"/>
          <w:color w:val="auto"/>
        </w:rPr>
        <w:t>（</w:t>
      </w:r>
      <w:r>
        <w:rPr>
          <w:rFonts w:ascii="Arial" w:cs="Arial" w:eastAsia="Arial" w:hAnsi="Arial"/>
          <w:sz w:val="32"/>
          <w:szCs w:val="32"/>
          <w:color w:val="auto"/>
        </w:rPr>
        <w:t>3</w:t>
      </w:r>
      <w:r>
        <w:rPr>
          <w:rFonts w:ascii="宋体" w:cs="宋体" w:eastAsia="宋体" w:hAnsi="宋体"/>
          <w:sz w:val="32"/>
          <w:szCs w:val="32"/>
          <w:color w:val="auto"/>
        </w:rPr>
        <w:t>）代理买卖证券款、代理承销证券款评估值的确定</w:t>
      </w:r>
    </w:p>
    <w:p>
      <w:pPr>
        <w:spacing w:after="0" w:line="259"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方法和结论。</w:t>
      </w:r>
    </w:p>
    <w:p>
      <w:pPr>
        <w:sectPr>
          <w:pgSz w:w="11900" w:h="16838" w:orient="portrait"/>
          <w:cols w:equalWidth="0" w:num="1">
            <w:col w:w="9026"/>
          </w:cols>
          <w:pgMar w:left="1440" w:top="1440" w:right="1440" w:bottom="1440" w:gutter="0" w:footer="0" w:header="0"/>
        </w:sectPr>
      </w:pPr>
    </w:p>
    <w:bookmarkStart w:id="51" w:name="page52"/>
    <w:bookmarkEnd w:id="51"/>
    <w:p>
      <w:pPr>
        <w:spacing w:after="0" w:line="81" w:lineRule="exact"/>
        <w:rPr>
          <w:sz w:val="20"/>
          <w:szCs w:val="20"/>
          <w:color w:val="auto"/>
        </w:rPr>
      </w:pPr>
    </w:p>
    <w:p>
      <w:pPr>
        <w:ind w:left="1000"/>
        <w:spacing w:after="0" w:line="388" w:lineRule="exact"/>
        <w:rPr>
          <w:sz w:val="20"/>
          <w:szCs w:val="20"/>
          <w:color w:val="auto"/>
        </w:rPr>
      </w:pPr>
      <w:r>
        <w:rPr>
          <w:rFonts w:ascii="Arial" w:cs="Arial" w:eastAsia="Arial" w:hAnsi="Arial"/>
          <w:sz w:val="32"/>
          <w:szCs w:val="32"/>
          <w:color w:val="auto"/>
        </w:rPr>
        <w:t>5</w:t>
      </w:r>
      <w:r>
        <w:rPr>
          <w:rFonts w:ascii="宋体" w:cs="宋体" w:eastAsia="宋体" w:hAnsi="宋体"/>
          <w:sz w:val="32"/>
          <w:szCs w:val="32"/>
          <w:color w:val="auto"/>
        </w:rPr>
        <w:t>．其他负债</w:t>
      </w:r>
    </w:p>
    <w:p>
      <w:pPr>
        <w:spacing w:after="0" w:line="237" w:lineRule="exact"/>
        <w:rPr>
          <w:sz w:val="20"/>
          <w:szCs w:val="20"/>
          <w:color w:val="auto"/>
        </w:rPr>
      </w:pPr>
    </w:p>
    <w:p>
      <w:pPr>
        <w:ind w:left="1000"/>
        <w:spacing w:after="0" w:line="388" w:lineRule="exact"/>
        <w:rPr>
          <w:sz w:val="20"/>
          <w:szCs w:val="20"/>
          <w:color w:val="auto"/>
        </w:rPr>
      </w:pPr>
      <w:r>
        <w:rPr>
          <w:rFonts w:ascii="宋体" w:cs="宋体" w:eastAsia="宋体" w:hAnsi="宋体"/>
          <w:sz w:val="32"/>
          <w:szCs w:val="32"/>
          <w:color w:val="auto"/>
        </w:rPr>
        <w:t>（</w:t>
      </w:r>
      <w:r>
        <w:rPr>
          <w:rFonts w:ascii="Arial" w:cs="Arial" w:eastAsia="Arial" w:hAnsi="Arial"/>
          <w:sz w:val="32"/>
          <w:szCs w:val="32"/>
          <w:color w:val="auto"/>
        </w:rPr>
        <w:t>1</w:t>
      </w:r>
      <w:r>
        <w:rPr>
          <w:rFonts w:ascii="宋体" w:cs="宋体" w:eastAsia="宋体" w:hAnsi="宋体"/>
          <w:sz w:val="32"/>
          <w:szCs w:val="32"/>
          <w:color w:val="auto"/>
        </w:rPr>
        <w:t>）代理兑付证券款、代理业务负债</w:t>
      </w:r>
    </w:p>
    <w:p>
      <w:pPr>
        <w:spacing w:after="0" w:line="236" w:lineRule="exact"/>
        <w:rPr>
          <w:sz w:val="20"/>
          <w:szCs w:val="20"/>
          <w:color w:val="auto"/>
        </w:rPr>
      </w:pPr>
    </w:p>
    <w:p>
      <w:pPr>
        <w:ind w:left="1000"/>
        <w:spacing w:after="0" w:line="388" w:lineRule="exact"/>
        <w:rPr>
          <w:sz w:val="20"/>
          <w:szCs w:val="20"/>
          <w:color w:val="auto"/>
        </w:rPr>
      </w:pPr>
      <w:r>
        <w:rPr>
          <w:rFonts w:ascii="Arial" w:cs="Arial" w:eastAsia="Arial" w:hAnsi="Arial"/>
          <w:sz w:val="32"/>
          <w:szCs w:val="32"/>
          <w:color w:val="auto"/>
        </w:rPr>
        <w:t>1)</w:t>
      </w:r>
      <w:r>
        <w:rPr>
          <w:rFonts w:ascii="宋体" w:cs="宋体" w:eastAsia="宋体" w:hAnsi="宋体"/>
          <w:sz w:val="32"/>
          <w:szCs w:val="32"/>
          <w:color w:val="auto"/>
        </w:rPr>
        <w:t>代理兑付证券款、代理业务负债资产类别。</w:t>
      </w:r>
    </w:p>
    <w:p>
      <w:pPr>
        <w:spacing w:after="0" w:line="236" w:lineRule="exact"/>
        <w:rPr>
          <w:sz w:val="20"/>
          <w:szCs w:val="20"/>
          <w:color w:val="auto"/>
        </w:rPr>
      </w:pPr>
    </w:p>
    <w:p>
      <w:pPr>
        <w:ind w:left="1000"/>
        <w:spacing w:after="0" w:line="388" w:lineRule="exact"/>
        <w:rPr>
          <w:sz w:val="20"/>
          <w:szCs w:val="20"/>
          <w:color w:val="auto"/>
        </w:rPr>
      </w:pPr>
      <w:r>
        <w:rPr>
          <w:rFonts w:ascii="Arial" w:cs="Arial" w:eastAsia="Arial" w:hAnsi="Arial"/>
          <w:sz w:val="32"/>
          <w:szCs w:val="32"/>
          <w:color w:val="auto"/>
        </w:rPr>
        <w:t>2)</w:t>
      </w:r>
      <w:r>
        <w:rPr>
          <w:rFonts w:ascii="宋体" w:cs="宋体" w:eastAsia="宋体" w:hAnsi="宋体"/>
          <w:sz w:val="32"/>
          <w:szCs w:val="32"/>
          <w:color w:val="auto"/>
        </w:rPr>
        <w:t>代理兑付证券款、代理业务负债核实的方法和结论。</w:t>
      </w:r>
    </w:p>
    <w:p>
      <w:pPr>
        <w:spacing w:after="0" w:line="236" w:lineRule="exact"/>
        <w:rPr>
          <w:sz w:val="20"/>
          <w:szCs w:val="20"/>
          <w:color w:val="auto"/>
        </w:rPr>
      </w:pPr>
    </w:p>
    <w:p>
      <w:pPr>
        <w:ind w:left="1000"/>
        <w:spacing w:after="0" w:line="388" w:lineRule="exact"/>
        <w:rPr>
          <w:sz w:val="20"/>
          <w:szCs w:val="20"/>
          <w:color w:val="auto"/>
        </w:rPr>
      </w:pPr>
      <w:r>
        <w:rPr>
          <w:rFonts w:ascii="Arial" w:cs="Arial" w:eastAsia="Arial" w:hAnsi="Arial"/>
          <w:sz w:val="32"/>
          <w:szCs w:val="32"/>
          <w:color w:val="auto"/>
        </w:rPr>
        <w:t>3)</w:t>
      </w:r>
      <w:r>
        <w:rPr>
          <w:rFonts w:ascii="宋体" w:cs="宋体" w:eastAsia="宋体" w:hAnsi="宋体"/>
          <w:sz w:val="32"/>
          <w:szCs w:val="32"/>
          <w:color w:val="auto"/>
        </w:rPr>
        <w:t>代理兑付证券款、代理业务负债评估值的确定方法和</w:t>
      </w:r>
    </w:p>
    <w:p>
      <w:pPr>
        <w:spacing w:after="0" w:line="259"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结论。</w:t>
      </w:r>
    </w:p>
    <w:p>
      <w:pPr>
        <w:spacing w:after="0" w:line="236" w:lineRule="exact"/>
        <w:rPr>
          <w:sz w:val="20"/>
          <w:szCs w:val="20"/>
          <w:color w:val="auto"/>
        </w:rPr>
      </w:pPr>
    </w:p>
    <w:p>
      <w:pPr>
        <w:ind w:left="1000"/>
        <w:spacing w:after="0" w:line="388" w:lineRule="exact"/>
        <w:rPr>
          <w:sz w:val="20"/>
          <w:szCs w:val="20"/>
          <w:color w:val="auto"/>
        </w:rPr>
      </w:pPr>
      <w:r>
        <w:rPr>
          <w:rFonts w:ascii="宋体" w:cs="宋体" w:eastAsia="宋体" w:hAnsi="宋体"/>
          <w:sz w:val="32"/>
          <w:szCs w:val="32"/>
          <w:color w:val="auto"/>
        </w:rPr>
        <w:t>（</w:t>
      </w:r>
      <w:r>
        <w:rPr>
          <w:rFonts w:ascii="Arial" w:cs="Arial" w:eastAsia="Arial" w:hAnsi="Arial"/>
          <w:sz w:val="32"/>
          <w:szCs w:val="32"/>
          <w:color w:val="auto"/>
        </w:rPr>
        <w:t>2</w:t>
      </w:r>
      <w:r>
        <w:rPr>
          <w:rFonts w:ascii="宋体" w:cs="宋体" w:eastAsia="宋体" w:hAnsi="宋体"/>
          <w:sz w:val="32"/>
          <w:szCs w:val="32"/>
          <w:color w:val="auto"/>
        </w:rPr>
        <w:t>）上述负债以外的其他负债</w:t>
      </w:r>
    </w:p>
    <w:p>
      <w:pPr>
        <w:spacing w:after="0" w:line="237" w:lineRule="exact"/>
        <w:rPr>
          <w:sz w:val="20"/>
          <w:szCs w:val="20"/>
          <w:color w:val="auto"/>
        </w:rPr>
      </w:pPr>
    </w:p>
    <w:p>
      <w:pPr>
        <w:ind w:left="1000"/>
        <w:spacing w:after="0" w:line="388" w:lineRule="exact"/>
        <w:rPr>
          <w:sz w:val="20"/>
          <w:szCs w:val="20"/>
          <w:color w:val="auto"/>
        </w:rPr>
      </w:pPr>
      <w:r>
        <w:rPr>
          <w:rFonts w:ascii="Arial" w:cs="Arial" w:eastAsia="Arial" w:hAnsi="Arial"/>
          <w:sz w:val="32"/>
          <w:szCs w:val="32"/>
          <w:color w:val="auto"/>
        </w:rPr>
        <w:t>1)</w:t>
      </w:r>
      <w:r>
        <w:rPr>
          <w:rFonts w:ascii="宋体" w:cs="宋体" w:eastAsia="宋体" w:hAnsi="宋体"/>
          <w:sz w:val="32"/>
          <w:szCs w:val="32"/>
          <w:color w:val="auto"/>
        </w:rPr>
        <w:t>其他负债的内容、种类及形成原因等。</w:t>
      </w:r>
    </w:p>
    <w:p>
      <w:pPr>
        <w:spacing w:after="0" w:line="236" w:lineRule="exact"/>
        <w:rPr>
          <w:sz w:val="20"/>
          <w:szCs w:val="20"/>
          <w:color w:val="auto"/>
        </w:rPr>
      </w:pPr>
    </w:p>
    <w:p>
      <w:pPr>
        <w:ind w:left="1000"/>
        <w:spacing w:after="0" w:line="388" w:lineRule="exact"/>
        <w:rPr>
          <w:sz w:val="20"/>
          <w:szCs w:val="20"/>
          <w:color w:val="auto"/>
        </w:rPr>
      </w:pPr>
      <w:r>
        <w:rPr>
          <w:rFonts w:ascii="Arial" w:cs="Arial" w:eastAsia="Arial" w:hAnsi="Arial"/>
          <w:sz w:val="32"/>
          <w:szCs w:val="32"/>
          <w:color w:val="auto"/>
        </w:rPr>
        <w:t>2)</w:t>
      </w:r>
      <w:r>
        <w:rPr>
          <w:rFonts w:ascii="宋体" w:cs="宋体" w:eastAsia="宋体" w:hAnsi="宋体"/>
          <w:sz w:val="32"/>
          <w:szCs w:val="32"/>
          <w:color w:val="auto"/>
        </w:rPr>
        <w:t>其他负债核实的方法和结论。</w:t>
      </w:r>
    </w:p>
    <w:p>
      <w:pPr>
        <w:spacing w:after="0" w:line="236" w:lineRule="exact"/>
        <w:rPr>
          <w:sz w:val="20"/>
          <w:szCs w:val="20"/>
          <w:color w:val="auto"/>
        </w:rPr>
      </w:pPr>
    </w:p>
    <w:p>
      <w:pPr>
        <w:ind w:left="1000"/>
        <w:spacing w:after="0" w:line="388" w:lineRule="exact"/>
        <w:rPr>
          <w:sz w:val="20"/>
          <w:szCs w:val="20"/>
          <w:color w:val="auto"/>
        </w:rPr>
      </w:pPr>
      <w:r>
        <w:rPr>
          <w:rFonts w:ascii="Arial" w:cs="Arial" w:eastAsia="Arial" w:hAnsi="Arial"/>
          <w:sz w:val="32"/>
          <w:szCs w:val="32"/>
          <w:color w:val="auto"/>
        </w:rPr>
        <w:t>3)</w:t>
      </w:r>
      <w:r>
        <w:rPr>
          <w:rFonts w:ascii="宋体" w:cs="宋体" w:eastAsia="宋体" w:hAnsi="宋体"/>
          <w:sz w:val="32"/>
          <w:szCs w:val="32"/>
          <w:color w:val="auto"/>
        </w:rPr>
        <w:t>其他负债评估值的确定方法和结论。</w:t>
      </w:r>
    </w:p>
    <w:p>
      <w:pPr>
        <w:spacing w:after="0" w:line="259" w:lineRule="exact"/>
        <w:rPr>
          <w:sz w:val="20"/>
          <w:szCs w:val="20"/>
          <w:color w:val="auto"/>
        </w:rPr>
      </w:pPr>
    </w:p>
    <w:p>
      <w:pPr>
        <w:ind w:left="1000"/>
        <w:spacing w:after="0" w:line="366" w:lineRule="exact"/>
        <w:rPr>
          <w:sz w:val="20"/>
          <w:szCs w:val="20"/>
          <w:color w:val="auto"/>
        </w:rPr>
      </w:pPr>
      <w:r>
        <w:rPr>
          <w:rFonts w:ascii="宋体" w:cs="宋体" w:eastAsia="宋体" w:hAnsi="宋体"/>
          <w:sz w:val="32"/>
          <w:szCs w:val="32"/>
          <w:color w:val="auto"/>
        </w:rPr>
        <w:t>四、收益法评估技术说明</w:t>
      </w:r>
    </w:p>
    <w:p>
      <w:pPr>
        <w:spacing w:after="0" w:line="259" w:lineRule="exact"/>
        <w:rPr>
          <w:sz w:val="20"/>
          <w:szCs w:val="20"/>
          <w:color w:val="auto"/>
        </w:rPr>
      </w:pPr>
    </w:p>
    <w:p>
      <w:pPr>
        <w:ind w:left="1000"/>
        <w:spacing w:after="0" w:line="366" w:lineRule="exact"/>
        <w:rPr>
          <w:sz w:val="20"/>
          <w:szCs w:val="20"/>
          <w:color w:val="auto"/>
        </w:rPr>
      </w:pPr>
      <w:r>
        <w:rPr>
          <w:rFonts w:ascii="宋体" w:cs="宋体" w:eastAsia="宋体" w:hAnsi="宋体"/>
          <w:sz w:val="32"/>
          <w:szCs w:val="32"/>
          <w:color w:val="auto"/>
        </w:rPr>
        <w:t>采用收益法进行企业价值评估，应当根据行业特点、企</w:t>
      </w:r>
    </w:p>
    <w:p>
      <w:pPr>
        <w:spacing w:after="0" w:line="259" w:lineRule="exact"/>
        <w:rPr>
          <w:sz w:val="20"/>
          <w:szCs w:val="20"/>
          <w:color w:val="auto"/>
        </w:rPr>
      </w:pPr>
    </w:p>
    <w:p>
      <w:pPr>
        <w:jc w:val="center"/>
        <w:ind w:right="6"/>
        <w:spacing w:after="0" w:line="366" w:lineRule="exact"/>
        <w:rPr>
          <w:sz w:val="20"/>
          <w:szCs w:val="20"/>
          <w:color w:val="auto"/>
        </w:rPr>
      </w:pPr>
      <w:r>
        <w:rPr>
          <w:rFonts w:ascii="宋体" w:cs="宋体" w:eastAsia="宋体" w:hAnsi="宋体"/>
          <w:sz w:val="32"/>
          <w:szCs w:val="32"/>
          <w:color w:val="auto"/>
        </w:rPr>
        <w:t>业经营方式和所确定的预期收益口径以及评估的其他具体</w:t>
      </w:r>
    </w:p>
    <w:p>
      <w:pPr>
        <w:spacing w:after="0" w:line="259"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情况等，确定评估技术说明的编写内容，一般编写内容指引</w:t>
      </w:r>
    </w:p>
    <w:p>
      <w:pPr>
        <w:spacing w:after="0" w:line="259"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如下。</w:t>
      </w:r>
    </w:p>
    <w:p>
      <w:pPr>
        <w:spacing w:after="0" w:line="259" w:lineRule="exact"/>
        <w:rPr>
          <w:sz w:val="20"/>
          <w:szCs w:val="20"/>
          <w:color w:val="auto"/>
        </w:rPr>
      </w:pPr>
    </w:p>
    <w:p>
      <w:pPr>
        <w:ind w:left="1000"/>
        <w:spacing w:after="0" w:line="366" w:lineRule="exact"/>
        <w:rPr>
          <w:sz w:val="20"/>
          <w:szCs w:val="20"/>
          <w:color w:val="auto"/>
        </w:rPr>
      </w:pPr>
      <w:r>
        <w:rPr>
          <w:rFonts w:ascii="宋体" w:cs="宋体" w:eastAsia="宋体" w:hAnsi="宋体"/>
          <w:sz w:val="32"/>
          <w:szCs w:val="32"/>
          <w:color w:val="auto"/>
        </w:rPr>
        <w:t>（一）说明评估对象，即企业整体价值、股东全部权益</w:t>
      </w:r>
    </w:p>
    <w:p>
      <w:pPr>
        <w:spacing w:after="0" w:line="259"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和股东部分权益。</w:t>
      </w:r>
    </w:p>
    <w:p>
      <w:pPr>
        <w:spacing w:after="0" w:line="259" w:lineRule="exact"/>
        <w:rPr>
          <w:sz w:val="20"/>
          <w:szCs w:val="20"/>
          <w:color w:val="auto"/>
        </w:rPr>
      </w:pPr>
    </w:p>
    <w:p>
      <w:pPr>
        <w:ind w:left="1000"/>
        <w:spacing w:after="0" w:line="366" w:lineRule="exact"/>
        <w:rPr>
          <w:sz w:val="20"/>
          <w:szCs w:val="20"/>
          <w:color w:val="auto"/>
        </w:rPr>
      </w:pPr>
      <w:r>
        <w:rPr>
          <w:rFonts w:ascii="宋体" w:cs="宋体" w:eastAsia="宋体" w:hAnsi="宋体"/>
          <w:sz w:val="32"/>
          <w:szCs w:val="32"/>
          <w:color w:val="auto"/>
        </w:rPr>
        <w:t>（二）收益法的应用前提及选择的理由和依据</w:t>
      </w:r>
    </w:p>
    <w:p>
      <w:pPr>
        <w:spacing w:after="0" w:line="236" w:lineRule="exact"/>
        <w:rPr>
          <w:sz w:val="20"/>
          <w:szCs w:val="20"/>
          <w:color w:val="auto"/>
        </w:rPr>
      </w:pPr>
    </w:p>
    <w:p>
      <w:pPr>
        <w:ind w:left="1000"/>
        <w:spacing w:after="0" w:line="388" w:lineRule="exact"/>
        <w:rPr>
          <w:sz w:val="20"/>
          <w:szCs w:val="20"/>
          <w:color w:val="auto"/>
        </w:rPr>
      </w:pPr>
      <w:r>
        <w:rPr>
          <w:rFonts w:ascii="Arial" w:cs="Arial" w:eastAsia="Arial" w:hAnsi="Arial"/>
          <w:sz w:val="32"/>
          <w:szCs w:val="32"/>
          <w:color w:val="auto"/>
        </w:rPr>
        <w:t>1.</w:t>
      </w:r>
      <w:r>
        <w:rPr>
          <w:rFonts w:ascii="宋体" w:cs="宋体" w:eastAsia="宋体" w:hAnsi="宋体"/>
          <w:sz w:val="32"/>
          <w:szCs w:val="32"/>
          <w:color w:val="auto"/>
        </w:rPr>
        <w:t>收益法的定义和原理。</w:t>
      </w:r>
    </w:p>
    <w:p>
      <w:pPr>
        <w:spacing w:after="0" w:line="237" w:lineRule="exact"/>
        <w:rPr>
          <w:sz w:val="20"/>
          <w:szCs w:val="20"/>
          <w:color w:val="auto"/>
        </w:rPr>
      </w:pPr>
    </w:p>
    <w:p>
      <w:pPr>
        <w:ind w:left="1000"/>
        <w:spacing w:after="0" w:line="388" w:lineRule="exact"/>
        <w:rPr>
          <w:sz w:val="20"/>
          <w:szCs w:val="20"/>
          <w:color w:val="auto"/>
        </w:rPr>
      </w:pPr>
      <w:r>
        <w:rPr>
          <w:rFonts w:ascii="Arial" w:cs="Arial" w:eastAsia="Arial" w:hAnsi="Arial"/>
          <w:sz w:val="32"/>
          <w:szCs w:val="32"/>
          <w:color w:val="auto"/>
        </w:rPr>
        <w:t>2.</w:t>
      </w:r>
      <w:r>
        <w:rPr>
          <w:rFonts w:ascii="宋体" w:cs="宋体" w:eastAsia="宋体" w:hAnsi="宋体"/>
          <w:sz w:val="32"/>
          <w:szCs w:val="32"/>
          <w:color w:val="auto"/>
        </w:rPr>
        <w:t>收益法的应用前提。</w:t>
      </w:r>
    </w:p>
    <w:p>
      <w:pPr>
        <w:spacing w:after="0" w:line="236" w:lineRule="exact"/>
        <w:rPr>
          <w:sz w:val="20"/>
          <w:szCs w:val="20"/>
          <w:color w:val="auto"/>
        </w:rPr>
      </w:pPr>
    </w:p>
    <w:p>
      <w:pPr>
        <w:ind w:left="1000"/>
        <w:spacing w:after="0" w:line="388" w:lineRule="exact"/>
        <w:rPr>
          <w:sz w:val="20"/>
          <w:szCs w:val="20"/>
          <w:color w:val="auto"/>
        </w:rPr>
      </w:pPr>
      <w:r>
        <w:rPr>
          <w:rFonts w:ascii="Arial" w:cs="Arial" w:eastAsia="Arial" w:hAnsi="Arial"/>
          <w:sz w:val="32"/>
          <w:szCs w:val="32"/>
          <w:color w:val="auto"/>
        </w:rPr>
        <w:t>3.</w:t>
      </w:r>
      <w:r>
        <w:rPr>
          <w:rFonts w:ascii="宋体" w:cs="宋体" w:eastAsia="宋体" w:hAnsi="宋体"/>
          <w:sz w:val="32"/>
          <w:szCs w:val="32"/>
          <w:color w:val="auto"/>
        </w:rPr>
        <w:t>收益法选择的理由和依据。</w:t>
      </w:r>
    </w:p>
    <w:p>
      <w:pPr>
        <w:spacing w:after="0" w:line="259" w:lineRule="exact"/>
        <w:rPr>
          <w:sz w:val="20"/>
          <w:szCs w:val="20"/>
          <w:color w:val="auto"/>
        </w:rPr>
      </w:pPr>
    </w:p>
    <w:p>
      <w:pPr>
        <w:ind w:left="1000"/>
        <w:spacing w:after="0" w:line="366" w:lineRule="exact"/>
        <w:rPr>
          <w:sz w:val="20"/>
          <w:szCs w:val="20"/>
          <w:color w:val="auto"/>
        </w:rPr>
      </w:pPr>
      <w:r>
        <w:rPr>
          <w:rFonts w:ascii="宋体" w:cs="宋体" w:eastAsia="宋体" w:hAnsi="宋体"/>
          <w:sz w:val="32"/>
          <w:szCs w:val="32"/>
          <w:color w:val="auto"/>
        </w:rPr>
        <w:t>（三）收益预测的假设条件</w:t>
      </w:r>
    </w:p>
    <w:p>
      <w:pPr>
        <w:sectPr>
          <w:pgSz w:w="11900" w:h="16838" w:orient="portrait"/>
          <w:cols w:equalWidth="0" w:num="1">
            <w:col w:w="9026"/>
          </w:cols>
          <w:pgMar w:left="1440" w:top="1440" w:right="1440" w:bottom="1440" w:gutter="0" w:footer="0" w:header="0"/>
        </w:sectPr>
      </w:pPr>
    </w:p>
    <w:bookmarkStart w:id="52" w:name="page53"/>
    <w:bookmarkEnd w:id="52"/>
    <w:p>
      <w:pPr>
        <w:spacing w:after="0" w:line="104" w:lineRule="exact"/>
        <w:rPr>
          <w:sz w:val="20"/>
          <w:szCs w:val="20"/>
          <w:color w:val="auto"/>
        </w:rPr>
      </w:pPr>
    </w:p>
    <w:p>
      <w:pPr>
        <w:ind w:left="1000"/>
        <w:spacing w:after="0" w:line="366" w:lineRule="exact"/>
        <w:rPr>
          <w:sz w:val="20"/>
          <w:szCs w:val="20"/>
          <w:color w:val="auto"/>
        </w:rPr>
      </w:pPr>
      <w:r>
        <w:rPr>
          <w:rFonts w:ascii="宋体" w:cs="宋体" w:eastAsia="宋体" w:hAnsi="宋体"/>
          <w:sz w:val="32"/>
          <w:szCs w:val="32"/>
          <w:color w:val="auto"/>
        </w:rPr>
        <w:t>收益预测的假设条件应当结合评估业务的具体情况确</w:t>
      </w:r>
    </w:p>
    <w:p>
      <w:pPr>
        <w:spacing w:after="0" w:line="259"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定。一般包括：</w:t>
      </w:r>
    </w:p>
    <w:p>
      <w:pPr>
        <w:spacing w:after="0" w:line="236" w:lineRule="exact"/>
        <w:rPr>
          <w:sz w:val="20"/>
          <w:szCs w:val="20"/>
          <w:color w:val="auto"/>
        </w:rPr>
      </w:pPr>
    </w:p>
    <w:p>
      <w:pPr>
        <w:ind w:left="1000"/>
        <w:spacing w:after="0" w:line="388" w:lineRule="exact"/>
        <w:rPr>
          <w:sz w:val="20"/>
          <w:szCs w:val="20"/>
          <w:color w:val="auto"/>
        </w:rPr>
      </w:pPr>
      <w:r>
        <w:rPr>
          <w:rFonts w:ascii="Arial" w:cs="Arial" w:eastAsia="Arial" w:hAnsi="Arial"/>
          <w:sz w:val="32"/>
          <w:szCs w:val="32"/>
          <w:color w:val="auto"/>
        </w:rPr>
        <w:t>1.</w:t>
      </w:r>
      <w:r>
        <w:rPr>
          <w:rFonts w:ascii="宋体" w:cs="宋体" w:eastAsia="宋体" w:hAnsi="宋体"/>
          <w:sz w:val="32"/>
          <w:szCs w:val="32"/>
          <w:color w:val="auto"/>
        </w:rPr>
        <w:t>针对评估基准日资产的实际状况，假设企业持续经营。</w:t>
      </w:r>
    </w:p>
    <w:p>
      <w:pPr>
        <w:spacing w:after="0" w:line="236" w:lineRule="exact"/>
        <w:rPr>
          <w:sz w:val="20"/>
          <w:szCs w:val="20"/>
          <w:color w:val="auto"/>
        </w:rPr>
      </w:pPr>
    </w:p>
    <w:p>
      <w:pPr>
        <w:ind w:left="1000"/>
        <w:spacing w:after="0" w:line="388" w:lineRule="exact"/>
        <w:rPr>
          <w:sz w:val="20"/>
          <w:szCs w:val="20"/>
          <w:color w:val="auto"/>
        </w:rPr>
      </w:pPr>
      <w:r>
        <w:rPr>
          <w:rFonts w:ascii="Arial" w:cs="Arial" w:eastAsia="Arial" w:hAnsi="Arial"/>
          <w:sz w:val="32"/>
          <w:szCs w:val="32"/>
          <w:color w:val="auto"/>
        </w:rPr>
        <w:t>2.</w:t>
      </w:r>
      <w:r>
        <w:rPr>
          <w:rFonts w:ascii="宋体" w:cs="宋体" w:eastAsia="宋体" w:hAnsi="宋体"/>
          <w:sz w:val="32"/>
          <w:szCs w:val="32"/>
          <w:color w:val="auto"/>
        </w:rPr>
        <w:t>假设公司的经营者是负责的，并且公司管理层有能力</w:t>
      </w:r>
    </w:p>
    <w:p>
      <w:pPr>
        <w:spacing w:after="0" w:line="259"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担当其职务。</w:t>
      </w:r>
    </w:p>
    <w:p>
      <w:pPr>
        <w:spacing w:after="0" w:line="236" w:lineRule="exact"/>
        <w:rPr>
          <w:sz w:val="20"/>
          <w:szCs w:val="20"/>
          <w:color w:val="auto"/>
        </w:rPr>
      </w:pPr>
    </w:p>
    <w:p>
      <w:pPr>
        <w:ind w:left="1000"/>
        <w:spacing w:after="0" w:line="388" w:lineRule="exact"/>
        <w:rPr>
          <w:sz w:val="20"/>
          <w:szCs w:val="20"/>
          <w:color w:val="auto"/>
        </w:rPr>
      </w:pPr>
      <w:r>
        <w:rPr>
          <w:rFonts w:ascii="Arial" w:cs="Arial" w:eastAsia="Arial" w:hAnsi="Arial"/>
          <w:sz w:val="32"/>
          <w:szCs w:val="32"/>
          <w:color w:val="auto"/>
        </w:rPr>
        <w:t>3.</w:t>
      </w:r>
      <w:r>
        <w:rPr>
          <w:rFonts w:ascii="宋体" w:cs="宋体" w:eastAsia="宋体" w:hAnsi="宋体"/>
          <w:sz w:val="32"/>
          <w:szCs w:val="32"/>
          <w:color w:val="auto"/>
        </w:rPr>
        <w:t>除非另有说明，假设公司完全遵守所有有关的法律法</w:t>
      </w:r>
    </w:p>
    <w:p>
      <w:pPr>
        <w:spacing w:after="0" w:line="259"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规。</w:t>
      </w:r>
    </w:p>
    <w:p>
      <w:pPr>
        <w:spacing w:after="0" w:line="237" w:lineRule="exact"/>
        <w:rPr>
          <w:sz w:val="20"/>
          <w:szCs w:val="20"/>
          <w:color w:val="auto"/>
        </w:rPr>
      </w:pPr>
    </w:p>
    <w:p>
      <w:pPr>
        <w:ind w:left="1000"/>
        <w:spacing w:after="0" w:line="388" w:lineRule="exact"/>
        <w:rPr>
          <w:sz w:val="20"/>
          <w:szCs w:val="20"/>
          <w:color w:val="auto"/>
        </w:rPr>
      </w:pPr>
      <w:r>
        <w:rPr>
          <w:rFonts w:ascii="Arial" w:cs="Arial" w:eastAsia="Arial" w:hAnsi="Arial"/>
          <w:sz w:val="32"/>
          <w:szCs w:val="32"/>
          <w:color w:val="auto"/>
        </w:rPr>
        <w:t>4.</w:t>
      </w:r>
      <w:r>
        <w:rPr>
          <w:rFonts w:ascii="宋体" w:cs="宋体" w:eastAsia="宋体" w:hAnsi="宋体"/>
          <w:sz w:val="32"/>
          <w:szCs w:val="32"/>
          <w:color w:val="auto"/>
        </w:rPr>
        <w:t>假设公司未来将采取的会计政策和编写此份报告时</w:t>
      </w:r>
    </w:p>
    <w:p>
      <w:pPr>
        <w:spacing w:after="0" w:line="259"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所采用的会计政策在重要方面基本一致。</w:t>
      </w:r>
    </w:p>
    <w:p>
      <w:pPr>
        <w:spacing w:after="0" w:line="236" w:lineRule="exact"/>
        <w:rPr>
          <w:sz w:val="20"/>
          <w:szCs w:val="20"/>
          <w:color w:val="auto"/>
        </w:rPr>
      </w:pPr>
    </w:p>
    <w:p>
      <w:pPr>
        <w:ind w:left="1000"/>
        <w:spacing w:after="0" w:line="388" w:lineRule="exact"/>
        <w:rPr>
          <w:sz w:val="20"/>
          <w:szCs w:val="20"/>
          <w:color w:val="auto"/>
        </w:rPr>
      </w:pPr>
      <w:r>
        <w:rPr>
          <w:rFonts w:ascii="Arial" w:cs="Arial" w:eastAsia="Arial" w:hAnsi="Arial"/>
          <w:sz w:val="32"/>
          <w:szCs w:val="32"/>
          <w:color w:val="auto"/>
        </w:rPr>
        <w:t>5.</w:t>
      </w:r>
      <w:r>
        <w:rPr>
          <w:rFonts w:ascii="宋体" w:cs="宋体" w:eastAsia="宋体" w:hAnsi="宋体"/>
          <w:sz w:val="32"/>
          <w:szCs w:val="32"/>
          <w:color w:val="auto"/>
        </w:rPr>
        <w:t>无其他人力不可抗拒因素及不可预见因素对企业造</w:t>
      </w:r>
    </w:p>
    <w:p>
      <w:pPr>
        <w:spacing w:after="0" w:line="270" w:lineRule="exact"/>
        <w:rPr>
          <w:sz w:val="20"/>
          <w:szCs w:val="20"/>
          <w:color w:val="auto"/>
        </w:rPr>
      </w:pPr>
    </w:p>
    <w:p>
      <w:pPr>
        <w:jc w:val="center"/>
        <w:ind w:right="6"/>
        <w:spacing w:after="0" w:line="354" w:lineRule="exact"/>
        <w:rPr>
          <w:sz w:val="20"/>
          <w:szCs w:val="20"/>
          <w:color w:val="auto"/>
        </w:rPr>
      </w:pPr>
      <w:r>
        <w:rPr>
          <w:rFonts w:ascii="宋体" w:cs="宋体" w:eastAsia="宋体" w:hAnsi="宋体"/>
          <w:sz w:val="31"/>
          <w:szCs w:val="31"/>
          <w:color w:val="auto"/>
        </w:rPr>
        <w:t>成重大不利影响。根据评估的要求，认定这些假设条件在评</w:t>
      </w:r>
    </w:p>
    <w:p>
      <w:pPr>
        <w:spacing w:after="0" w:line="259"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估基准日时成立，当未来经济环境发生较大变化时，将不承</w:t>
      </w:r>
    </w:p>
    <w:p>
      <w:pPr>
        <w:spacing w:after="0" w:line="259"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担由于假设条件改变而推导出不同评估结论的责任。</w:t>
      </w:r>
    </w:p>
    <w:p>
      <w:pPr>
        <w:spacing w:after="0" w:line="259" w:lineRule="exact"/>
        <w:rPr>
          <w:sz w:val="20"/>
          <w:szCs w:val="20"/>
          <w:color w:val="auto"/>
        </w:rPr>
      </w:pPr>
    </w:p>
    <w:p>
      <w:pPr>
        <w:ind w:left="1000"/>
        <w:spacing w:after="0" w:line="366" w:lineRule="exact"/>
        <w:rPr>
          <w:sz w:val="20"/>
          <w:szCs w:val="20"/>
          <w:color w:val="auto"/>
        </w:rPr>
      </w:pPr>
      <w:r>
        <w:rPr>
          <w:rFonts w:ascii="宋体" w:cs="宋体" w:eastAsia="宋体" w:hAnsi="宋体"/>
          <w:sz w:val="32"/>
          <w:szCs w:val="32"/>
          <w:color w:val="auto"/>
        </w:rPr>
        <w:t>（四）企业经营、资产、财务分析</w:t>
      </w:r>
    </w:p>
    <w:p>
      <w:pPr>
        <w:spacing w:after="0" w:line="236" w:lineRule="exact"/>
        <w:rPr>
          <w:sz w:val="20"/>
          <w:szCs w:val="20"/>
          <w:color w:val="auto"/>
        </w:rPr>
      </w:pPr>
    </w:p>
    <w:p>
      <w:pPr>
        <w:ind w:left="1000"/>
        <w:spacing w:after="0" w:line="388" w:lineRule="exact"/>
        <w:rPr>
          <w:sz w:val="20"/>
          <w:szCs w:val="20"/>
          <w:color w:val="auto"/>
        </w:rPr>
      </w:pPr>
      <w:r>
        <w:rPr>
          <w:rFonts w:ascii="Arial" w:cs="Arial" w:eastAsia="Arial" w:hAnsi="Arial"/>
          <w:sz w:val="32"/>
          <w:szCs w:val="32"/>
          <w:color w:val="auto"/>
        </w:rPr>
        <w:t>1.</w:t>
      </w:r>
      <w:r>
        <w:rPr>
          <w:rFonts w:ascii="宋体" w:cs="宋体" w:eastAsia="宋体" w:hAnsi="宋体"/>
          <w:sz w:val="32"/>
          <w:szCs w:val="32"/>
          <w:color w:val="auto"/>
        </w:rPr>
        <w:t>被评估单位所在行业状况及发展前景，国家货币政策</w:t>
      </w:r>
    </w:p>
    <w:p>
      <w:pPr>
        <w:spacing w:after="0" w:line="259"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及对金融行业主要监管政策分析。</w:t>
      </w:r>
    </w:p>
    <w:p>
      <w:pPr>
        <w:spacing w:after="0" w:line="236" w:lineRule="exact"/>
        <w:rPr>
          <w:sz w:val="20"/>
          <w:szCs w:val="20"/>
          <w:color w:val="auto"/>
        </w:rPr>
      </w:pPr>
    </w:p>
    <w:p>
      <w:pPr>
        <w:ind w:left="1000"/>
        <w:spacing w:after="0" w:line="388" w:lineRule="exact"/>
        <w:rPr>
          <w:sz w:val="20"/>
          <w:szCs w:val="20"/>
          <w:color w:val="auto"/>
        </w:rPr>
      </w:pPr>
      <w:r>
        <w:rPr>
          <w:rFonts w:ascii="Arial" w:cs="Arial" w:eastAsia="Arial" w:hAnsi="Arial"/>
          <w:sz w:val="32"/>
          <w:szCs w:val="32"/>
          <w:color w:val="auto"/>
        </w:rPr>
        <w:t>2.</w:t>
      </w:r>
      <w:r>
        <w:rPr>
          <w:rFonts w:ascii="宋体" w:cs="宋体" w:eastAsia="宋体" w:hAnsi="宋体"/>
          <w:sz w:val="32"/>
          <w:szCs w:val="32"/>
          <w:color w:val="auto"/>
        </w:rPr>
        <w:t>企业内部管理制度、人力资源、核心技术、研发状况、</w:t>
      </w:r>
    </w:p>
    <w:p>
      <w:pPr>
        <w:spacing w:after="0" w:line="259"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销售网络、特许经营权、管理层构成等经营管理状况分析。</w:t>
      </w:r>
    </w:p>
    <w:p>
      <w:pPr>
        <w:spacing w:after="0" w:line="236" w:lineRule="exact"/>
        <w:rPr>
          <w:sz w:val="20"/>
          <w:szCs w:val="20"/>
          <w:color w:val="auto"/>
        </w:rPr>
      </w:pPr>
    </w:p>
    <w:p>
      <w:pPr>
        <w:ind w:left="1000"/>
        <w:spacing w:after="0" w:line="388" w:lineRule="exact"/>
        <w:rPr>
          <w:sz w:val="20"/>
          <w:szCs w:val="20"/>
          <w:color w:val="auto"/>
        </w:rPr>
      </w:pPr>
      <w:r>
        <w:rPr>
          <w:rFonts w:ascii="Arial" w:cs="Arial" w:eastAsia="Arial" w:hAnsi="Arial"/>
          <w:sz w:val="32"/>
          <w:szCs w:val="32"/>
          <w:color w:val="auto"/>
        </w:rPr>
        <w:t>3.</w:t>
      </w:r>
      <w:r>
        <w:rPr>
          <w:rFonts w:ascii="宋体" w:cs="宋体" w:eastAsia="宋体" w:hAnsi="宋体"/>
          <w:sz w:val="32"/>
          <w:szCs w:val="32"/>
          <w:color w:val="auto"/>
        </w:rPr>
        <w:t>企业历史年度财务分析。一般包括收入、支出分析，</w:t>
      </w:r>
    </w:p>
    <w:p>
      <w:pPr>
        <w:spacing w:after="0" w:line="271" w:lineRule="exact"/>
        <w:rPr>
          <w:sz w:val="20"/>
          <w:szCs w:val="20"/>
          <w:color w:val="auto"/>
        </w:rPr>
      </w:pPr>
    </w:p>
    <w:p>
      <w:pPr>
        <w:ind w:left="360"/>
        <w:spacing w:after="0" w:line="354" w:lineRule="exact"/>
        <w:rPr>
          <w:sz w:val="20"/>
          <w:szCs w:val="20"/>
          <w:color w:val="auto"/>
        </w:rPr>
      </w:pPr>
      <w:r>
        <w:rPr>
          <w:rFonts w:ascii="宋体" w:cs="宋体" w:eastAsia="宋体" w:hAnsi="宋体"/>
          <w:sz w:val="31"/>
          <w:szCs w:val="31"/>
          <w:color w:val="auto"/>
        </w:rPr>
        <w:t>资金运用方式、盈利能力、营运能力分析以及成长性分析等。</w:t>
      </w:r>
    </w:p>
    <w:p>
      <w:pPr>
        <w:spacing w:after="0" w:line="259" w:lineRule="exact"/>
        <w:rPr>
          <w:sz w:val="20"/>
          <w:szCs w:val="20"/>
          <w:color w:val="auto"/>
        </w:rPr>
      </w:pPr>
    </w:p>
    <w:p>
      <w:pPr>
        <w:ind w:left="1000"/>
        <w:spacing w:after="0" w:line="366" w:lineRule="exact"/>
        <w:rPr>
          <w:sz w:val="20"/>
          <w:szCs w:val="20"/>
          <w:color w:val="auto"/>
        </w:rPr>
      </w:pPr>
      <w:r>
        <w:rPr>
          <w:rFonts w:ascii="宋体" w:cs="宋体" w:eastAsia="宋体" w:hAnsi="宋体"/>
          <w:sz w:val="32"/>
          <w:szCs w:val="32"/>
          <w:color w:val="auto"/>
        </w:rPr>
        <w:t>针对经营业务内容不同，不同种类的金融企业历史年度</w:t>
      </w:r>
    </w:p>
    <w:p>
      <w:pPr>
        <w:spacing w:after="0" w:line="259"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经营状况应当重点介绍以下内容，如：</w:t>
      </w:r>
    </w:p>
    <w:p>
      <w:pPr>
        <w:sectPr>
          <w:pgSz w:w="11900" w:h="16838" w:orient="portrait"/>
          <w:cols w:equalWidth="0" w:num="1">
            <w:col w:w="9026"/>
          </w:cols>
          <w:pgMar w:left="1440" w:top="1440" w:right="1440" w:bottom="1440" w:gutter="0" w:footer="0" w:header="0"/>
        </w:sectPr>
      </w:pPr>
    </w:p>
    <w:bookmarkStart w:id="53" w:name="page54"/>
    <w:bookmarkEnd w:id="53"/>
    <w:p>
      <w:pPr>
        <w:spacing w:after="0" w:line="104" w:lineRule="exact"/>
        <w:rPr>
          <w:sz w:val="20"/>
          <w:szCs w:val="20"/>
          <w:color w:val="auto"/>
        </w:rPr>
      </w:pPr>
    </w:p>
    <w:p>
      <w:pPr>
        <w:ind w:left="1000"/>
        <w:spacing w:after="0" w:line="366" w:lineRule="exact"/>
        <w:rPr>
          <w:sz w:val="20"/>
          <w:szCs w:val="20"/>
          <w:color w:val="auto"/>
        </w:rPr>
      </w:pPr>
      <w:r>
        <w:rPr>
          <w:rFonts w:ascii="宋体" w:cs="宋体" w:eastAsia="宋体" w:hAnsi="宋体"/>
          <w:sz w:val="32"/>
          <w:szCs w:val="32"/>
          <w:color w:val="auto"/>
        </w:rPr>
        <w:t>银行的经营状况应当重点说明利率与汇率变化趋势、信</w:t>
      </w:r>
    </w:p>
    <w:p>
      <w:pPr>
        <w:spacing w:after="0" w:line="259"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贷市场规模、各类业务的市场占有率等历史情况。</w:t>
      </w:r>
    </w:p>
    <w:p>
      <w:pPr>
        <w:spacing w:after="0" w:line="259" w:lineRule="exact"/>
        <w:rPr>
          <w:sz w:val="20"/>
          <w:szCs w:val="20"/>
          <w:color w:val="auto"/>
        </w:rPr>
      </w:pPr>
    </w:p>
    <w:p>
      <w:pPr>
        <w:ind w:left="1000"/>
        <w:spacing w:after="0" w:line="366" w:lineRule="exact"/>
        <w:rPr>
          <w:sz w:val="20"/>
          <w:szCs w:val="20"/>
          <w:color w:val="auto"/>
        </w:rPr>
      </w:pPr>
      <w:r>
        <w:rPr>
          <w:rFonts w:ascii="宋体" w:cs="宋体" w:eastAsia="宋体" w:hAnsi="宋体"/>
          <w:sz w:val="32"/>
          <w:szCs w:val="32"/>
          <w:color w:val="auto"/>
        </w:rPr>
        <w:t>保险公司的经营状况应当重点说明保险品种规模、各类</w:t>
      </w:r>
    </w:p>
    <w:p>
      <w:pPr>
        <w:spacing w:after="0" w:line="259"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业务的市场占有率等历史情况。</w:t>
      </w:r>
    </w:p>
    <w:p>
      <w:pPr>
        <w:spacing w:after="0" w:line="259" w:lineRule="exact"/>
        <w:rPr>
          <w:sz w:val="20"/>
          <w:szCs w:val="20"/>
          <w:color w:val="auto"/>
        </w:rPr>
      </w:pPr>
    </w:p>
    <w:p>
      <w:pPr>
        <w:ind w:left="1000"/>
        <w:spacing w:after="0" w:line="366" w:lineRule="exact"/>
        <w:rPr>
          <w:sz w:val="20"/>
          <w:szCs w:val="20"/>
          <w:color w:val="auto"/>
        </w:rPr>
      </w:pPr>
      <w:r>
        <w:rPr>
          <w:rFonts w:ascii="宋体" w:cs="宋体" w:eastAsia="宋体" w:hAnsi="宋体"/>
          <w:sz w:val="32"/>
          <w:szCs w:val="32"/>
          <w:color w:val="auto"/>
        </w:rPr>
        <w:t>证券公司的经营状况应当重点说明证券市场规模、各类</w:t>
      </w:r>
    </w:p>
    <w:p>
      <w:pPr>
        <w:spacing w:after="0" w:line="259"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业务的市场占有率等历史情况。</w:t>
      </w:r>
    </w:p>
    <w:p>
      <w:pPr>
        <w:spacing w:after="0" w:line="236" w:lineRule="exact"/>
        <w:rPr>
          <w:sz w:val="20"/>
          <w:szCs w:val="20"/>
          <w:color w:val="auto"/>
        </w:rPr>
      </w:pPr>
    </w:p>
    <w:p>
      <w:pPr>
        <w:ind w:left="1000"/>
        <w:spacing w:after="0" w:line="388" w:lineRule="exact"/>
        <w:rPr>
          <w:sz w:val="20"/>
          <w:szCs w:val="20"/>
          <w:color w:val="auto"/>
        </w:rPr>
      </w:pPr>
      <w:r>
        <w:rPr>
          <w:rFonts w:ascii="Arial" w:cs="Arial" w:eastAsia="Arial" w:hAnsi="Arial"/>
          <w:sz w:val="32"/>
          <w:szCs w:val="32"/>
          <w:color w:val="auto"/>
        </w:rPr>
        <w:t>4.</w:t>
      </w:r>
      <w:r>
        <w:rPr>
          <w:rFonts w:ascii="宋体" w:cs="宋体" w:eastAsia="宋体" w:hAnsi="宋体"/>
          <w:sz w:val="32"/>
          <w:szCs w:val="32"/>
          <w:color w:val="auto"/>
        </w:rPr>
        <w:t>经营性资产、非经营性资产、溢余资产分析。</w:t>
      </w:r>
    </w:p>
    <w:p>
      <w:pPr>
        <w:spacing w:after="0" w:line="260" w:lineRule="exact"/>
        <w:rPr>
          <w:sz w:val="20"/>
          <w:szCs w:val="20"/>
          <w:color w:val="auto"/>
        </w:rPr>
      </w:pPr>
    </w:p>
    <w:p>
      <w:pPr>
        <w:ind w:left="1000"/>
        <w:spacing w:after="0" w:line="366" w:lineRule="exact"/>
        <w:rPr>
          <w:sz w:val="20"/>
          <w:szCs w:val="20"/>
          <w:color w:val="auto"/>
        </w:rPr>
      </w:pPr>
      <w:r>
        <w:rPr>
          <w:rFonts w:ascii="宋体" w:cs="宋体" w:eastAsia="宋体" w:hAnsi="宋体"/>
          <w:sz w:val="32"/>
          <w:szCs w:val="32"/>
          <w:color w:val="auto"/>
        </w:rPr>
        <w:t>（五）评估计算及分析过程</w:t>
      </w:r>
    </w:p>
    <w:p>
      <w:pPr>
        <w:spacing w:after="0" w:line="259" w:lineRule="exact"/>
        <w:rPr>
          <w:sz w:val="20"/>
          <w:szCs w:val="20"/>
          <w:color w:val="auto"/>
        </w:rPr>
      </w:pPr>
    </w:p>
    <w:p>
      <w:pPr>
        <w:ind w:left="1000"/>
        <w:spacing w:after="0" w:line="366" w:lineRule="exact"/>
        <w:rPr>
          <w:sz w:val="20"/>
          <w:szCs w:val="20"/>
          <w:color w:val="auto"/>
        </w:rPr>
      </w:pPr>
      <w:r>
        <w:rPr>
          <w:rFonts w:ascii="宋体" w:cs="宋体" w:eastAsia="宋体" w:hAnsi="宋体"/>
          <w:sz w:val="32"/>
          <w:szCs w:val="32"/>
          <w:color w:val="auto"/>
        </w:rPr>
        <w:t>评估计算及分析过程需要对收益法评估表进行详细解</w:t>
      </w:r>
    </w:p>
    <w:p>
      <w:pPr>
        <w:spacing w:after="0" w:line="259"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释。</w:t>
      </w:r>
    </w:p>
    <w:p>
      <w:pPr>
        <w:spacing w:after="0" w:line="236" w:lineRule="exact"/>
        <w:rPr>
          <w:sz w:val="20"/>
          <w:szCs w:val="20"/>
          <w:color w:val="auto"/>
        </w:rPr>
      </w:pPr>
    </w:p>
    <w:p>
      <w:pPr>
        <w:ind w:left="1000"/>
        <w:spacing w:after="0" w:line="388" w:lineRule="exact"/>
        <w:rPr>
          <w:sz w:val="20"/>
          <w:szCs w:val="20"/>
          <w:color w:val="auto"/>
        </w:rPr>
      </w:pPr>
      <w:r>
        <w:rPr>
          <w:rFonts w:ascii="Arial" w:cs="Arial" w:eastAsia="Arial" w:hAnsi="Arial"/>
          <w:sz w:val="32"/>
          <w:szCs w:val="32"/>
          <w:color w:val="auto"/>
        </w:rPr>
        <w:t>1.</w:t>
      </w:r>
      <w:r>
        <w:rPr>
          <w:rFonts w:ascii="宋体" w:cs="宋体" w:eastAsia="宋体" w:hAnsi="宋体"/>
          <w:sz w:val="32"/>
          <w:szCs w:val="32"/>
          <w:color w:val="auto"/>
        </w:rPr>
        <w:t>收益模型的选取</w:t>
      </w:r>
    </w:p>
    <w:p>
      <w:pPr>
        <w:spacing w:after="0" w:line="236" w:lineRule="exact"/>
        <w:rPr>
          <w:sz w:val="20"/>
          <w:szCs w:val="20"/>
          <w:color w:val="auto"/>
        </w:rPr>
      </w:pPr>
    </w:p>
    <w:p>
      <w:pPr>
        <w:ind w:left="1000"/>
        <w:spacing w:after="0" w:line="388" w:lineRule="exact"/>
        <w:rPr>
          <w:sz w:val="20"/>
          <w:szCs w:val="20"/>
          <w:color w:val="auto"/>
        </w:rPr>
      </w:pPr>
      <w:r>
        <w:rPr>
          <w:rFonts w:ascii="宋体" w:cs="宋体" w:eastAsia="宋体" w:hAnsi="宋体"/>
          <w:sz w:val="32"/>
          <w:szCs w:val="32"/>
          <w:color w:val="auto"/>
        </w:rPr>
        <w:t>（</w:t>
      </w:r>
      <w:r>
        <w:rPr>
          <w:rFonts w:ascii="Arial" w:cs="Arial" w:eastAsia="Arial" w:hAnsi="Arial"/>
          <w:sz w:val="32"/>
          <w:szCs w:val="32"/>
          <w:color w:val="auto"/>
        </w:rPr>
        <w:t>1</w:t>
      </w:r>
      <w:r>
        <w:rPr>
          <w:rFonts w:ascii="宋体" w:cs="宋体" w:eastAsia="宋体" w:hAnsi="宋体"/>
          <w:sz w:val="32"/>
          <w:szCs w:val="32"/>
          <w:color w:val="auto"/>
        </w:rPr>
        <w:t>）选取收益法的具体测算方法及模型。</w:t>
      </w:r>
    </w:p>
    <w:p>
      <w:pPr>
        <w:spacing w:after="0" w:line="236" w:lineRule="exact"/>
        <w:rPr>
          <w:sz w:val="20"/>
          <w:szCs w:val="20"/>
          <w:color w:val="auto"/>
        </w:rPr>
      </w:pPr>
    </w:p>
    <w:p>
      <w:pPr>
        <w:ind w:left="1000"/>
        <w:spacing w:after="0" w:line="388" w:lineRule="exact"/>
        <w:rPr>
          <w:sz w:val="20"/>
          <w:szCs w:val="20"/>
          <w:color w:val="auto"/>
        </w:rPr>
      </w:pPr>
      <w:r>
        <w:rPr>
          <w:rFonts w:ascii="宋体" w:cs="宋体" w:eastAsia="宋体" w:hAnsi="宋体"/>
          <w:sz w:val="32"/>
          <w:szCs w:val="32"/>
          <w:color w:val="auto"/>
        </w:rPr>
        <w:t>（</w:t>
      </w:r>
      <w:r>
        <w:rPr>
          <w:rFonts w:ascii="Arial" w:cs="Arial" w:eastAsia="Arial" w:hAnsi="Arial"/>
          <w:sz w:val="32"/>
          <w:szCs w:val="32"/>
          <w:color w:val="auto"/>
        </w:rPr>
        <w:t>2</w:t>
      </w:r>
      <w:r>
        <w:rPr>
          <w:rFonts w:ascii="宋体" w:cs="宋体" w:eastAsia="宋体" w:hAnsi="宋体"/>
          <w:sz w:val="32"/>
          <w:szCs w:val="32"/>
          <w:color w:val="auto"/>
        </w:rPr>
        <w:t>）列示计算公式并对参数进行解释与说明。</w:t>
      </w:r>
    </w:p>
    <w:p>
      <w:pPr>
        <w:spacing w:after="0" w:line="237" w:lineRule="exact"/>
        <w:rPr>
          <w:sz w:val="20"/>
          <w:szCs w:val="20"/>
          <w:color w:val="auto"/>
        </w:rPr>
      </w:pPr>
    </w:p>
    <w:p>
      <w:pPr>
        <w:ind w:left="1000"/>
        <w:spacing w:after="0" w:line="388" w:lineRule="exact"/>
        <w:rPr>
          <w:sz w:val="20"/>
          <w:szCs w:val="20"/>
          <w:color w:val="auto"/>
        </w:rPr>
      </w:pPr>
      <w:r>
        <w:rPr>
          <w:rFonts w:ascii="Arial" w:cs="Arial" w:eastAsia="Arial" w:hAnsi="Arial"/>
          <w:sz w:val="32"/>
          <w:szCs w:val="32"/>
          <w:color w:val="auto"/>
        </w:rPr>
        <w:t>2.</w:t>
      </w:r>
      <w:r>
        <w:rPr>
          <w:rFonts w:ascii="宋体" w:cs="宋体" w:eastAsia="宋体" w:hAnsi="宋体"/>
          <w:sz w:val="32"/>
          <w:szCs w:val="32"/>
          <w:color w:val="auto"/>
        </w:rPr>
        <w:t>收益年限的确定</w:t>
      </w:r>
    </w:p>
    <w:p>
      <w:pPr>
        <w:spacing w:after="0" w:line="259" w:lineRule="exact"/>
        <w:rPr>
          <w:sz w:val="20"/>
          <w:szCs w:val="20"/>
          <w:color w:val="auto"/>
        </w:rPr>
      </w:pPr>
    </w:p>
    <w:p>
      <w:pPr>
        <w:ind w:left="1000"/>
        <w:spacing w:after="0" w:line="366" w:lineRule="exact"/>
        <w:rPr>
          <w:sz w:val="20"/>
          <w:szCs w:val="20"/>
          <w:color w:val="auto"/>
        </w:rPr>
      </w:pPr>
      <w:r>
        <w:rPr>
          <w:rFonts w:ascii="宋体" w:cs="宋体" w:eastAsia="宋体" w:hAnsi="宋体"/>
          <w:sz w:val="32"/>
          <w:szCs w:val="32"/>
          <w:color w:val="auto"/>
        </w:rPr>
        <w:t>确定收益年限并说明其理由。</w:t>
      </w:r>
    </w:p>
    <w:p>
      <w:pPr>
        <w:spacing w:after="0" w:line="236" w:lineRule="exact"/>
        <w:rPr>
          <w:sz w:val="20"/>
          <w:szCs w:val="20"/>
          <w:color w:val="auto"/>
        </w:rPr>
      </w:pPr>
    </w:p>
    <w:p>
      <w:pPr>
        <w:ind w:left="1000"/>
        <w:spacing w:after="0" w:line="388" w:lineRule="exact"/>
        <w:rPr>
          <w:sz w:val="20"/>
          <w:szCs w:val="20"/>
          <w:color w:val="auto"/>
        </w:rPr>
      </w:pPr>
      <w:r>
        <w:rPr>
          <w:rFonts w:ascii="Arial" w:cs="Arial" w:eastAsia="Arial" w:hAnsi="Arial"/>
          <w:sz w:val="32"/>
          <w:szCs w:val="32"/>
          <w:color w:val="auto"/>
        </w:rPr>
        <w:t>3.</w:t>
      </w:r>
      <w:r>
        <w:rPr>
          <w:rFonts w:ascii="宋体" w:cs="宋体" w:eastAsia="宋体" w:hAnsi="宋体"/>
          <w:sz w:val="32"/>
          <w:szCs w:val="32"/>
          <w:color w:val="auto"/>
        </w:rPr>
        <w:t>未来收益的确定</w:t>
      </w:r>
    </w:p>
    <w:p>
      <w:pPr>
        <w:spacing w:after="0" w:line="259" w:lineRule="exact"/>
        <w:rPr>
          <w:sz w:val="20"/>
          <w:szCs w:val="20"/>
          <w:color w:val="auto"/>
        </w:rPr>
      </w:pPr>
    </w:p>
    <w:p>
      <w:pPr>
        <w:ind w:left="1000"/>
        <w:spacing w:after="0" w:line="366" w:lineRule="exact"/>
        <w:rPr>
          <w:sz w:val="20"/>
          <w:szCs w:val="20"/>
          <w:color w:val="auto"/>
        </w:rPr>
      </w:pPr>
      <w:r>
        <w:rPr>
          <w:rFonts w:ascii="宋体" w:cs="宋体" w:eastAsia="宋体" w:hAnsi="宋体"/>
          <w:sz w:val="32"/>
          <w:szCs w:val="32"/>
          <w:color w:val="auto"/>
        </w:rPr>
        <w:t>未来收益的确定一般包括以下主要项目的预测，收入、</w:t>
      </w:r>
    </w:p>
    <w:p>
      <w:pPr>
        <w:spacing w:after="0" w:line="259"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成本费用等项目的名称及具体内容应当根据企业的实际经</w:t>
      </w:r>
    </w:p>
    <w:p>
      <w:pPr>
        <w:spacing w:after="0" w:line="259"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营情况确定。</w:t>
      </w:r>
    </w:p>
    <w:p>
      <w:pPr>
        <w:spacing w:after="0" w:line="237" w:lineRule="exact"/>
        <w:rPr>
          <w:sz w:val="20"/>
          <w:szCs w:val="20"/>
          <w:color w:val="auto"/>
        </w:rPr>
      </w:pPr>
    </w:p>
    <w:p>
      <w:pPr>
        <w:ind w:left="1000"/>
        <w:spacing w:after="0" w:line="388" w:lineRule="exact"/>
        <w:rPr>
          <w:sz w:val="20"/>
          <w:szCs w:val="20"/>
          <w:color w:val="auto"/>
        </w:rPr>
      </w:pPr>
      <w:r>
        <w:rPr>
          <w:rFonts w:ascii="宋体" w:cs="宋体" w:eastAsia="宋体" w:hAnsi="宋体"/>
          <w:sz w:val="32"/>
          <w:szCs w:val="32"/>
          <w:color w:val="auto"/>
        </w:rPr>
        <w:t>（</w:t>
      </w:r>
      <w:r>
        <w:rPr>
          <w:rFonts w:ascii="Arial" w:cs="Arial" w:eastAsia="Arial" w:hAnsi="Arial"/>
          <w:sz w:val="32"/>
          <w:szCs w:val="32"/>
          <w:color w:val="auto"/>
        </w:rPr>
        <w:t>1</w:t>
      </w:r>
      <w:r>
        <w:rPr>
          <w:rFonts w:ascii="宋体" w:cs="宋体" w:eastAsia="宋体" w:hAnsi="宋体"/>
          <w:sz w:val="32"/>
          <w:szCs w:val="32"/>
          <w:color w:val="auto"/>
        </w:rPr>
        <w:t>）经营模式与收益主体、口径的相关性。</w:t>
      </w:r>
    </w:p>
    <w:p>
      <w:pPr>
        <w:spacing w:after="0" w:line="236" w:lineRule="exact"/>
        <w:rPr>
          <w:sz w:val="20"/>
          <w:szCs w:val="20"/>
          <w:color w:val="auto"/>
        </w:rPr>
      </w:pPr>
    </w:p>
    <w:p>
      <w:pPr>
        <w:ind w:left="1000"/>
        <w:spacing w:after="0" w:line="388" w:lineRule="exact"/>
        <w:rPr>
          <w:sz w:val="20"/>
          <w:szCs w:val="20"/>
          <w:color w:val="auto"/>
        </w:rPr>
      </w:pPr>
      <w:r>
        <w:rPr>
          <w:rFonts w:ascii="宋体" w:cs="宋体" w:eastAsia="宋体" w:hAnsi="宋体"/>
          <w:sz w:val="32"/>
          <w:szCs w:val="32"/>
          <w:color w:val="auto"/>
        </w:rPr>
        <w:t>（</w:t>
      </w:r>
      <w:r>
        <w:rPr>
          <w:rFonts w:ascii="Arial" w:cs="Arial" w:eastAsia="Arial" w:hAnsi="Arial"/>
          <w:sz w:val="32"/>
          <w:szCs w:val="32"/>
          <w:color w:val="auto"/>
        </w:rPr>
        <w:t>2</w:t>
      </w:r>
      <w:r>
        <w:rPr>
          <w:rFonts w:ascii="宋体" w:cs="宋体" w:eastAsia="宋体" w:hAnsi="宋体"/>
          <w:sz w:val="32"/>
          <w:szCs w:val="32"/>
          <w:color w:val="auto"/>
        </w:rPr>
        <w:t>）收入的预测</w:t>
      </w:r>
    </w:p>
    <w:p>
      <w:pPr>
        <w:spacing w:after="0" w:line="236" w:lineRule="exact"/>
        <w:rPr>
          <w:sz w:val="20"/>
          <w:szCs w:val="20"/>
          <w:color w:val="auto"/>
        </w:rPr>
      </w:pPr>
    </w:p>
    <w:p>
      <w:pPr>
        <w:ind w:left="1000"/>
        <w:spacing w:after="0" w:line="388" w:lineRule="exact"/>
        <w:rPr>
          <w:sz w:val="20"/>
          <w:szCs w:val="20"/>
          <w:color w:val="auto"/>
        </w:rPr>
      </w:pPr>
      <w:r>
        <w:rPr>
          <w:rFonts w:ascii="Arial" w:cs="Arial" w:eastAsia="Arial" w:hAnsi="Arial"/>
          <w:sz w:val="32"/>
          <w:szCs w:val="32"/>
          <w:color w:val="auto"/>
        </w:rPr>
        <w:t>1)</w:t>
      </w:r>
      <w:r>
        <w:rPr>
          <w:rFonts w:ascii="宋体" w:cs="宋体" w:eastAsia="宋体" w:hAnsi="宋体"/>
          <w:sz w:val="32"/>
          <w:szCs w:val="32"/>
          <w:color w:val="auto"/>
        </w:rPr>
        <w:t>营业收入的预测。通常包括区域经济发展与市场环境、</w:t>
      </w:r>
    </w:p>
    <w:p>
      <w:pPr>
        <w:sectPr>
          <w:pgSz w:w="11900" w:h="16838" w:orient="portrait"/>
          <w:cols w:equalWidth="0" w:num="1">
            <w:col w:w="9026"/>
          </w:cols>
          <w:pgMar w:left="1440" w:top="1440" w:right="1440" w:bottom="1440" w:gutter="0" w:footer="0" w:header="0"/>
        </w:sectPr>
      </w:pPr>
    </w:p>
    <w:bookmarkStart w:id="54" w:name="page55"/>
    <w:bookmarkEnd w:id="54"/>
    <w:p>
      <w:pPr>
        <w:spacing w:after="0" w:line="104"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业内竞争情况与企业对策、公司的营业收入及构成分析和营</w:t>
      </w:r>
    </w:p>
    <w:p>
      <w:pPr>
        <w:spacing w:after="0" w:line="259"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业收入的预测。</w:t>
      </w:r>
    </w:p>
    <w:p>
      <w:pPr>
        <w:spacing w:after="0" w:line="236" w:lineRule="exact"/>
        <w:rPr>
          <w:sz w:val="20"/>
          <w:szCs w:val="20"/>
          <w:color w:val="auto"/>
        </w:rPr>
      </w:pPr>
    </w:p>
    <w:p>
      <w:pPr>
        <w:ind w:left="1000"/>
        <w:spacing w:after="0" w:line="388" w:lineRule="exact"/>
        <w:rPr>
          <w:sz w:val="20"/>
          <w:szCs w:val="20"/>
          <w:color w:val="auto"/>
        </w:rPr>
      </w:pPr>
      <w:r>
        <w:rPr>
          <w:rFonts w:ascii="Arial" w:cs="Arial" w:eastAsia="Arial" w:hAnsi="Arial"/>
          <w:sz w:val="32"/>
          <w:szCs w:val="32"/>
          <w:color w:val="auto"/>
        </w:rPr>
        <w:t>2)</w:t>
      </w:r>
      <w:r>
        <w:rPr>
          <w:rFonts w:ascii="宋体" w:cs="宋体" w:eastAsia="宋体" w:hAnsi="宋体"/>
          <w:sz w:val="32"/>
          <w:szCs w:val="32"/>
          <w:color w:val="auto"/>
        </w:rPr>
        <w:t>资金运用收益预测及依据。</w:t>
      </w:r>
    </w:p>
    <w:p>
      <w:pPr>
        <w:spacing w:after="0" w:line="236" w:lineRule="exact"/>
        <w:rPr>
          <w:sz w:val="20"/>
          <w:szCs w:val="20"/>
          <w:color w:val="auto"/>
        </w:rPr>
      </w:pPr>
    </w:p>
    <w:p>
      <w:pPr>
        <w:ind w:left="1000"/>
        <w:spacing w:after="0" w:line="388" w:lineRule="exact"/>
        <w:rPr>
          <w:sz w:val="20"/>
          <w:szCs w:val="20"/>
          <w:color w:val="auto"/>
        </w:rPr>
      </w:pPr>
      <w:r>
        <w:rPr>
          <w:rFonts w:ascii="Arial" w:cs="Arial" w:eastAsia="Arial" w:hAnsi="Arial"/>
          <w:sz w:val="32"/>
          <w:szCs w:val="32"/>
          <w:color w:val="auto"/>
        </w:rPr>
        <w:t>3)</w:t>
      </w:r>
      <w:r>
        <w:rPr>
          <w:rFonts w:ascii="宋体" w:cs="宋体" w:eastAsia="宋体" w:hAnsi="宋体"/>
          <w:sz w:val="32"/>
          <w:szCs w:val="32"/>
          <w:color w:val="auto"/>
        </w:rPr>
        <w:t>公允价值变动收益预测。</w:t>
      </w:r>
    </w:p>
    <w:p>
      <w:pPr>
        <w:spacing w:after="0" w:line="236" w:lineRule="exact"/>
        <w:rPr>
          <w:sz w:val="20"/>
          <w:szCs w:val="20"/>
          <w:color w:val="auto"/>
        </w:rPr>
      </w:pPr>
    </w:p>
    <w:p>
      <w:pPr>
        <w:ind w:left="1000"/>
        <w:spacing w:after="0" w:line="388" w:lineRule="exact"/>
        <w:rPr>
          <w:sz w:val="20"/>
          <w:szCs w:val="20"/>
          <w:color w:val="auto"/>
        </w:rPr>
      </w:pPr>
      <w:r>
        <w:rPr>
          <w:rFonts w:ascii="Arial" w:cs="Arial" w:eastAsia="Arial" w:hAnsi="Arial"/>
          <w:sz w:val="32"/>
          <w:szCs w:val="32"/>
          <w:color w:val="auto"/>
        </w:rPr>
        <w:t>4)</w:t>
      </w:r>
      <w:r>
        <w:rPr>
          <w:rFonts w:ascii="宋体" w:cs="宋体" w:eastAsia="宋体" w:hAnsi="宋体"/>
          <w:sz w:val="32"/>
          <w:szCs w:val="32"/>
          <w:color w:val="auto"/>
        </w:rPr>
        <w:t>汇兑收益预测。</w:t>
      </w:r>
    </w:p>
    <w:p>
      <w:pPr>
        <w:spacing w:after="0" w:line="236" w:lineRule="exact"/>
        <w:rPr>
          <w:sz w:val="20"/>
          <w:szCs w:val="20"/>
          <w:color w:val="auto"/>
        </w:rPr>
      </w:pPr>
    </w:p>
    <w:p>
      <w:pPr>
        <w:ind w:left="1000"/>
        <w:spacing w:after="0" w:line="388" w:lineRule="exact"/>
        <w:rPr>
          <w:sz w:val="20"/>
          <w:szCs w:val="20"/>
          <w:color w:val="auto"/>
        </w:rPr>
      </w:pPr>
      <w:r>
        <w:rPr>
          <w:rFonts w:ascii="Arial" w:cs="Arial" w:eastAsia="Arial" w:hAnsi="Arial"/>
          <w:sz w:val="32"/>
          <w:szCs w:val="32"/>
          <w:color w:val="auto"/>
        </w:rPr>
        <w:t>5)</w:t>
      </w:r>
      <w:r>
        <w:rPr>
          <w:rFonts w:ascii="宋体" w:cs="宋体" w:eastAsia="宋体" w:hAnsi="宋体"/>
          <w:sz w:val="32"/>
          <w:szCs w:val="32"/>
          <w:color w:val="auto"/>
        </w:rPr>
        <w:t>其他业务收入预测。</w:t>
      </w:r>
    </w:p>
    <w:p>
      <w:pPr>
        <w:spacing w:after="0" w:line="236" w:lineRule="exact"/>
        <w:rPr>
          <w:sz w:val="20"/>
          <w:szCs w:val="20"/>
          <w:color w:val="auto"/>
        </w:rPr>
      </w:pPr>
    </w:p>
    <w:p>
      <w:pPr>
        <w:ind w:left="1000"/>
        <w:spacing w:after="0" w:line="388" w:lineRule="exact"/>
        <w:rPr>
          <w:sz w:val="20"/>
          <w:szCs w:val="20"/>
          <w:color w:val="auto"/>
        </w:rPr>
      </w:pPr>
      <w:r>
        <w:rPr>
          <w:rFonts w:ascii="宋体" w:cs="宋体" w:eastAsia="宋体" w:hAnsi="宋体"/>
          <w:sz w:val="32"/>
          <w:szCs w:val="32"/>
          <w:color w:val="auto"/>
        </w:rPr>
        <w:t>（</w:t>
      </w:r>
      <w:r>
        <w:rPr>
          <w:rFonts w:ascii="Arial" w:cs="Arial" w:eastAsia="Arial" w:hAnsi="Arial"/>
          <w:sz w:val="32"/>
          <w:szCs w:val="32"/>
          <w:color w:val="auto"/>
        </w:rPr>
        <w:t>3</w:t>
      </w:r>
      <w:r>
        <w:rPr>
          <w:rFonts w:ascii="宋体" w:cs="宋体" w:eastAsia="宋体" w:hAnsi="宋体"/>
          <w:sz w:val="32"/>
          <w:szCs w:val="32"/>
          <w:color w:val="auto"/>
        </w:rPr>
        <w:t>）支出的预测</w:t>
      </w:r>
    </w:p>
    <w:p>
      <w:pPr>
        <w:spacing w:after="0" w:line="237" w:lineRule="exact"/>
        <w:rPr>
          <w:sz w:val="20"/>
          <w:szCs w:val="20"/>
          <w:color w:val="auto"/>
        </w:rPr>
      </w:pPr>
    </w:p>
    <w:p>
      <w:pPr>
        <w:ind w:left="1000"/>
        <w:spacing w:after="0" w:line="388" w:lineRule="exact"/>
        <w:rPr>
          <w:sz w:val="20"/>
          <w:szCs w:val="20"/>
          <w:color w:val="auto"/>
        </w:rPr>
      </w:pPr>
      <w:r>
        <w:rPr>
          <w:rFonts w:ascii="Arial" w:cs="Arial" w:eastAsia="Arial" w:hAnsi="Arial"/>
          <w:sz w:val="32"/>
          <w:szCs w:val="32"/>
          <w:color w:val="auto"/>
        </w:rPr>
        <w:t>1)</w:t>
      </w:r>
      <w:r>
        <w:rPr>
          <w:rFonts w:ascii="宋体" w:cs="宋体" w:eastAsia="宋体" w:hAnsi="宋体"/>
          <w:sz w:val="32"/>
          <w:szCs w:val="32"/>
          <w:color w:val="auto"/>
        </w:rPr>
        <w:t>营业税金及附加的估算。</w:t>
      </w:r>
    </w:p>
    <w:p>
      <w:pPr>
        <w:spacing w:after="0" w:line="236" w:lineRule="exact"/>
        <w:rPr>
          <w:sz w:val="20"/>
          <w:szCs w:val="20"/>
          <w:color w:val="auto"/>
        </w:rPr>
      </w:pPr>
    </w:p>
    <w:p>
      <w:pPr>
        <w:ind w:left="1000"/>
        <w:spacing w:after="0" w:line="388" w:lineRule="exact"/>
        <w:rPr>
          <w:sz w:val="20"/>
          <w:szCs w:val="20"/>
          <w:color w:val="auto"/>
        </w:rPr>
      </w:pPr>
      <w:r>
        <w:rPr>
          <w:rFonts w:ascii="Arial" w:cs="Arial" w:eastAsia="Arial" w:hAnsi="Arial"/>
          <w:sz w:val="32"/>
          <w:szCs w:val="32"/>
          <w:color w:val="auto"/>
        </w:rPr>
        <w:t>2)</w:t>
      </w:r>
      <w:r>
        <w:rPr>
          <w:rFonts w:ascii="宋体" w:cs="宋体" w:eastAsia="宋体" w:hAnsi="宋体"/>
          <w:sz w:val="32"/>
          <w:szCs w:val="32"/>
          <w:color w:val="auto"/>
        </w:rPr>
        <w:t>业务及管理费用的预测。</w:t>
      </w:r>
    </w:p>
    <w:p>
      <w:pPr>
        <w:spacing w:after="0" w:line="236" w:lineRule="exact"/>
        <w:rPr>
          <w:sz w:val="20"/>
          <w:szCs w:val="20"/>
          <w:color w:val="auto"/>
        </w:rPr>
      </w:pPr>
    </w:p>
    <w:p>
      <w:pPr>
        <w:ind w:left="1000"/>
        <w:spacing w:after="0" w:line="388" w:lineRule="exact"/>
        <w:rPr>
          <w:sz w:val="20"/>
          <w:szCs w:val="20"/>
          <w:color w:val="auto"/>
        </w:rPr>
      </w:pPr>
      <w:r>
        <w:rPr>
          <w:rFonts w:ascii="Arial" w:cs="Arial" w:eastAsia="Arial" w:hAnsi="Arial"/>
          <w:sz w:val="32"/>
          <w:szCs w:val="32"/>
          <w:color w:val="auto"/>
        </w:rPr>
        <w:t>3)</w:t>
      </w:r>
      <w:r>
        <w:rPr>
          <w:rFonts w:ascii="宋体" w:cs="宋体" w:eastAsia="宋体" w:hAnsi="宋体"/>
          <w:sz w:val="32"/>
          <w:szCs w:val="32"/>
          <w:color w:val="auto"/>
        </w:rPr>
        <w:t>资产减值损失的预测。</w:t>
      </w:r>
    </w:p>
    <w:p>
      <w:pPr>
        <w:spacing w:after="0" w:line="236" w:lineRule="exact"/>
        <w:rPr>
          <w:sz w:val="20"/>
          <w:szCs w:val="20"/>
          <w:color w:val="auto"/>
        </w:rPr>
      </w:pPr>
    </w:p>
    <w:p>
      <w:pPr>
        <w:ind w:left="1000"/>
        <w:spacing w:after="0" w:line="388" w:lineRule="exact"/>
        <w:rPr>
          <w:sz w:val="20"/>
          <w:szCs w:val="20"/>
          <w:color w:val="auto"/>
        </w:rPr>
      </w:pPr>
      <w:r>
        <w:rPr>
          <w:rFonts w:ascii="Arial" w:cs="Arial" w:eastAsia="Arial" w:hAnsi="Arial"/>
          <w:sz w:val="32"/>
          <w:szCs w:val="32"/>
          <w:color w:val="auto"/>
        </w:rPr>
        <w:t>4)</w:t>
      </w:r>
      <w:r>
        <w:rPr>
          <w:rFonts w:ascii="宋体" w:cs="宋体" w:eastAsia="宋体" w:hAnsi="宋体"/>
          <w:sz w:val="32"/>
          <w:szCs w:val="32"/>
          <w:color w:val="auto"/>
        </w:rPr>
        <w:t>其他业务成本预测。</w:t>
      </w:r>
    </w:p>
    <w:p>
      <w:pPr>
        <w:spacing w:after="0" w:line="236" w:lineRule="exact"/>
        <w:rPr>
          <w:sz w:val="20"/>
          <w:szCs w:val="20"/>
          <w:color w:val="auto"/>
        </w:rPr>
      </w:pPr>
    </w:p>
    <w:p>
      <w:pPr>
        <w:ind w:left="1000"/>
        <w:spacing w:after="0" w:line="388" w:lineRule="exact"/>
        <w:rPr>
          <w:sz w:val="20"/>
          <w:szCs w:val="20"/>
          <w:color w:val="auto"/>
        </w:rPr>
      </w:pPr>
      <w:r>
        <w:rPr>
          <w:rFonts w:ascii="宋体" w:cs="宋体" w:eastAsia="宋体" w:hAnsi="宋体"/>
          <w:sz w:val="32"/>
          <w:szCs w:val="32"/>
          <w:color w:val="auto"/>
        </w:rPr>
        <w:t>（</w:t>
      </w:r>
      <w:r>
        <w:rPr>
          <w:rFonts w:ascii="Arial" w:cs="Arial" w:eastAsia="Arial" w:hAnsi="Arial"/>
          <w:sz w:val="32"/>
          <w:szCs w:val="32"/>
          <w:color w:val="auto"/>
        </w:rPr>
        <w:t>4</w:t>
      </w:r>
      <w:r>
        <w:rPr>
          <w:rFonts w:ascii="宋体" w:cs="宋体" w:eastAsia="宋体" w:hAnsi="宋体"/>
          <w:sz w:val="32"/>
          <w:szCs w:val="32"/>
          <w:color w:val="auto"/>
        </w:rPr>
        <w:t>）折旧与摊销的预测。</w:t>
      </w:r>
    </w:p>
    <w:p>
      <w:pPr>
        <w:spacing w:after="0" w:line="236" w:lineRule="exact"/>
        <w:rPr>
          <w:sz w:val="20"/>
          <w:szCs w:val="20"/>
          <w:color w:val="auto"/>
        </w:rPr>
      </w:pPr>
    </w:p>
    <w:p>
      <w:pPr>
        <w:ind w:left="1000"/>
        <w:spacing w:after="0" w:line="388" w:lineRule="exact"/>
        <w:rPr>
          <w:sz w:val="20"/>
          <w:szCs w:val="20"/>
          <w:color w:val="auto"/>
        </w:rPr>
      </w:pPr>
      <w:r>
        <w:rPr>
          <w:rFonts w:ascii="宋体" w:cs="宋体" w:eastAsia="宋体" w:hAnsi="宋体"/>
          <w:sz w:val="32"/>
          <w:szCs w:val="32"/>
          <w:color w:val="auto"/>
        </w:rPr>
        <w:t>（</w:t>
      </w:r>
      <w:r>
        <w:rPr>
          <w:rFonts w:ascii="Arial" w:cs="Arial" w:eastAsia="Arial" w:hAnsi="Arial"/>
          <w:sz w:val="32"/>
          <w:szCs w:val="32"/>
          <w:color w:val="auto"/>
        </w:rPr>
        <w:t>5</w:t>
      </w:r>
      <w:r>
        <w:rPr>
          <w:rFonts w:ascii="宋体" w:cs="宋体" w:eastAsia="宋体" w:hAnsi="宋体"/>
          <w:sz w:val="32"/>
          <w:szCs w:val="32"/>
          <w:color w:val="auto"/>
        </w:rPr>
        <w:t>）追加投资预测。</w:t>
      </w:r>
    </w:p>
    <w:p>
      <w:pPr>
        <w:spacing w:after="0" w:line="237" w:lineRule="exact"/>
        <w:rPr>
          <w:sz w:val="20"/>
          <w:szCs w:val="20"/>
          <w:color w:val="auto"/>
        </w:rPr>
      </w:pPr>
    </w:p>
    <w:p>
      <w:pPr>
        <w:ind w:left="1000"/>
        <w:spacing w:after="0" w:line="388" w:lineRule="exact"/>
        <w:rPr>
          <w:sz w:val="20"/>
          <w:szCs w:val="20"/>
          <w:color w:val="auto"/>
        </w:rPr>
      </w:pPr>
      <w:r>
        <w:rPr>
          <w:rFonts w:ascii="Arial" w:cs="Arial" w:eastAsia="Arial" w:hAnsi="Arial"/>
          <w:sz w:val="32"/>
          <w:szCs w:val="32"/>
          <w:color w:val="auto"/>
        </w:rPr>
        <w:t>4.</w:t>
      </w:r>
      <w:r>
        <w:rPr>
          <w:rFonts w:ascii="宋体" w:cs="宋体" w:eastAsia="宋体" w:hAnsi="宋体"/>
          <w:sz w:val="32"/>
          <w:szCs w:val="32"/>
          <w:color w:val="auto"/>
        </w:rPr>
        <w:t>折现率的确定</w:t>
      </w:r>
    </w:p>
    <w:p>
      <w:pPr>
        <w:spacing w:after="0" w:line="236" w:lineRule="exact"/>
        <w:rPr>
          <w:sz w:val="20"/>
          <w:szCs w:val="20"/>
          <w:color w:val="auto"/>
        </w:rPr>
      </w:pPr>
    </w:p>
    <w:p>
      <w:pPr>
        <w:ind w:left="1000"/>
        <w:spacing w:after="0" w:line="388" w:lineRule="exact"/>
        <w:rPr>
          <w:sz w:val="20"/>
          <w:szCs w:val="20"/>
          <w:color w:val="auto"/>
        </w:rPr>
      </w:pPr>
      <w:r>
        <w:rPr>
          <w:rFonts w:ascii="宋体" w:cs="宋体" w:eastAsia="宋体" w:hAnsi="宋体"/>
          <w:sz w:val="32"/>
          <w:szCs w:val="32"/>
          <w:color w:val="auto"/>
        </w:rPr>
        <w:t>（</w:t>
      </w:r>
      <w:r>
        <w:rPr>
          <w:rFonts w:ascii="Arial" w:cs="Arial" w:eastAsia="Arial" w:hAnsi="Arial"/>
          <w:sz w:val="32"/>
          <w:szCs w:val="32"/>
          <w:color w:val="auto"/>
        </w:rPr>
        <w:t>1</w:t>
      </w:r>
      <w:r>
        <w:rPr>
          <w:rFonts w:ascii="宋体" w:cs="宋体" w:eastAsia="宋体" w:hAnsi="宋体"/>
          <w:sz w:val="32"/>
          <w:szCs w:val="32"/>
          <w:color w:val="auto"/>
        </w:rPr>
        <w:t>）所选折现率的模型。</w:t>
      </w:r>
    </w:p>
    <w:p>
      <w:pPr>
        <w:spacing w:after="0" w:line="236" w:lineRule="exact"/>
        <w:rPr>
          <w:sz w:val="20"/>
          <w:szCs w:val="20"/>
          <w:color w:val="auto"/>
        </w:rPr>
      </w:pPr>
    </w:p>
    <w:p>
      <w:pPr>
        <w:ind w:left="1000"/>
        <w:spacing w:after="0" w:line="388" w:lineRule="exact"/>
        <w:rPr>
          <w:sz w:val="20"/>
          <w:szCs w:val="20"/>
          <w:color w:val="auto"/>
        </w:rPr>
      </w:pPr>
      <w:r>
        <w:rPr>
          <w:rFonts w:ascii="宋体" w:cs="宋体" w:eastAsia="宋体" w:hAnsi="宋体"/>
          <w:sz w:val="32"/>
          <w:szCs w:val="32"/>
          <w:color w:val="auto"/>
        </w:rPr>
        <w:t>（</w:t>
      </w:r>
      <w:r>
        <w:rPr>
          <w:rFonts w:ascii="Arial" w:cs="Arial" w:eastAsia="Arial" w:hAnsi="Arial"/>
          <w:sz w:val="32"/>
          <w:szCs w:val="32"/>
          <w:color w:val="auto"/>
        </w:rPr>
        <w:t>2</w:t>
      </w:r>
      <w:r>
        <w:rPr>
          <w:rFonts w:ascii="宋体" w:cs="宋体" w:eastAsia="宋体" w:hAnsi="宋体"/>
          <w:sz w:val="32"/>
          <w:szCs w:val="32"/>
          <w:color w:val="auto"/>
        </w:rPr>
        <w:t>）模型中有关参数的选取过程。</w:t>
      </w:r>
    </w:p>
    <w:p>
      <w:pPr>
        <w:spacing w:after="0" w:line="259" w:lineRule="exact"/>
        <w:rPr>
          <w:sz w:val="20"/>
          <w:szCs w:val="20"/>
          <w:color w:val="auto"/>
        </w:rPr>
      </w:pPr>
    </w:p>
    <w:p>
      <w:pPr>
        <w:ind w:left="1000"/>
        <w:spacing w:after="0" w:line="366" w:lineRule="exact"/>
        <w:rPr>
          <w:sz w:val="20"/>
          <w:szCs w:val="20"/>
          <w:color w:val="auto"/>
        </w:rPr>
      </w:pPr>
      <w:r>
        <w:rPr>
          <w:rFonts w:ascii="宋体" w:cs="宋体" w:eastAsia="宋体" w:hAnsi="宋体"/>
          <w:sz w:val="32"/>
          <w:szCs w:val="32"/>
          <w:color w:val="auto"/>
        </w:rPr>
        <w:t>例如：无风险报酬率选取依据及过程、市场收益率选取</w:t>
      </w:r>
    </w:p>
    <w:p>
      <w:pPr>
        <w:spacing w:after="0" w:line="236" w:lineRule="exact"/>
        <w:rPr>
          <w:sz w:val="20"/>
          <w:szCs w:val="20"/>
          <w:color w:val="auto"/>
        </w:rPr>
      </w:pPr>
    </w:p>
    <w:p>
      <w:pPr>
        <w:ind w:left="360"/>
        <w:spacing w:after="0" w:line="388" w:lineRule="exact"/>
        <w:rPr>
          <w:sz w:val="20"/>
          <w:szCs w:val="20"/>
          <w:color w:val="auto"/>
        </w:rPr>
      </w:pPr>
      <w:r>
        <w:rPr>
          <w:rFonts w:ascii="宋体" w:cs="宋体" w:eastAsia="宋体" w:hAnsi="宋体"/>
          <w:sz w:val="32"/>
          <w:szCs w:val="32"/>
          <w:color w:val="auto"/>
        </w:rPr>
        <w:t>依据及过程、</w:t>
      </w:r>
      <w:r>
        <w:rPr>
          <w:rFonts w:ascii="Arial" w:cs="Arial" w:eastAsia="Arial" w:hAnsi="Arial"/>
          <w:sz w:val="32"/>
          <w:szCs w:val="32"/>
          <w:color w:val="auto"/>
        </w:rPr>
        <w:t>Beta</w:t>
      </w:r>
      <w:r>
        <w:rPr>
          <w:rFonts w:ascii="宋体" w:cs="宋体" w:eastAsia="宋体" w:hAnsi="宋体"/>
          <w:sz w:val="32"/>
          <w:szCs w:val="32"/>
          <w:color w:val="auto"/>
        </w:rPr>
        <w:t>（贝塔）系数的测算。</w:t>
      </w:r>
    </w:p>
    <w:p>
      <w:pPr>
        <w:spacing w:after="0" w:line="259" w:lineRule="exact"/>
        <w:rPr>
          <w:sz w:val="20"/>
          <w:szCs w:val="20"/>
          <w:color w:val="auto"/>
        </w:rPr>
      </w:pPr>
    </w:p>
    <w:p>
      <w:pPr>
        <w:ind w:left="1000"/>
        <w:spacing w:after="0" w:line="366" w:lineRule="exact"/>
        <w:rPr>
          <w:sz w:val="20"/>
          <w:szCs w:val="20"/>
          <w:color w:val="auto"/>
        </w:rPr>
      </w:pPr>
      <w:r>
        <w:rPr>
          <w:rFonts w:ascii="宋体" w:cs="宋体" w:eastAsia="宋体" w:hAnsi="宋体"/>
          <w:sz w:val="32"/>
          <w:szCs w:val="32"/>
          <w:color w:val="auto"/>
        </w:rPr>
        <w:t>（六）收益法说明应当体现主要业务的预测过程，如：</w:t>
      </w:r>
    </w:p>
    <w:p>
      <w:pPr>
        <w:spacing w:after="0" w:line="237" w:lineRule="exact"/>
        <w:rPr>
          <w:sz w:val="20"/>
          <w:szCs w:val="20"/>
          <w:color w:val="auto"/>
        </w:rPr>
      </w:pPr>
    </w:p>
    <w:p>
      <w:pPr>
        <w:ind w:left="1000"/>
        <w:spacing w:after="0" w:line="388" w:lineRule="exact"/>
        <w:rPr>
          <w:sz w:val="20"/>
          <w:szCs w:val="20"/>
          <w:color w:val="auto"/>
        </w:rPr>
      </w:pPr>
      <w:r>
        <w:rPr>
          <w:rFonts w:ascii="Arial" w:cs="Arial" w:eastAsia="Arial" w:hAnsi="Arial"/>
          <w:sz w:val="32"/>
          <w:szCs w:val="32"/>
          <w:color w:val="auto"/>
        </w:rPr>
        <w:t>1.</w:t>
      </w:r>
      <w:r>
        <w:rPr>
          <w:rFonts w:ascii="宋体" w:cs="宋体" w:eastAsia="宋体" w:hAnsi="宋体"/>
          <w:sz w:val="32"/>
          <w:szCs w:val="32"/>
          <w:color w:val="auto"/>
        </w:rPr>
        <w:t>银行的收益法说明应当披露信贷业务、投资业务、中</w:t>
      </w:r>
    </w:p>
    <w:p>
      <w:pPr>
        <w:spacing w:after="0" w:line="259"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间业务等重要业务收益参数的预测过程。</w:t>
      </w:r>
    </w:p>
    <w:p>
      <w:pPr>
        <w:spacing w:after="0" w:line="236" w:lineRule="exact"/>
        <w:rPr>
          <w:sz w:val="20"/>
          <w:szCs w:val="20"/>
          <w:color w:val="auto"/>
        </w:rPr>
      </w:pPr>
    </w:p>
    <w:p>
      <w:pPr>
        <w:ind w:left="1000"/>
        <w:spacing w:after="0" w:line="388" w:lineRule="exact"/>
        <w:rPr>
          <w:sz w:val="20"/>
          <w:szCs w:val="20"/>
          <w:color w:val="auto"/>
        </w:rPr>
      </w:pPr>
      <w:r>
        <w:rPr>
          <w:rFonts w:ascii="Arial" w:cs="Arial" w:eastAsia="Arial" w:hAnsi="Arial"/>
          <w:sz w:val="32"/>
          <w:szCs w:val="32"/>
          <w:color w:val="auto"/>
        </w:rPr>
        <w:t>2.</w:t>
      </w:r>
      <w:r>
        <w:rPr>
          <w:rFonts w:ascii="宋体" w:cs="宋体" w:eastAsia="宋体" w:hAnsi="宋体"/>
          <w:sz w:val="32"/>
          <w:szCs w:val="32"/>
          <w:color w:val="auto"/>
        </w:rPr>
        <w:t>保险公司的收益法说明应当披露保费收入、投资收益、</w:t>
      </w:r>
    </w:p>
    <w:p>
      <w:pPr>
        <w:sectPr>
          <w:pgSz w:w="11900" w:h="16838" w:orient="portrait"/>
          <w:cols w:equalWidth="0" w:num="1">
            <w:col w:w="9026"/>
          </w:cols>
          <w:pgMar w:left="1440" w:top="1440" w:right="1440" w:bottom="1440" w:gutter="0" w:footer="0" w:header="0"/>
        </w:sectPr>
      </w:pPr>
    </w:p>
    <w:bookmarkStart w:id="55" w:name="page56"/>
    <w:bookmarkEnd w:id="55"/>
    <w:p>
      <w:pPr>
        <w:spacing w:after="0" w:line="104"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各项保险准备金计提等重要项目收益参数预测过程，寿险公</w:t>
      </w:r>
    </w:p>
    <w:p>
      <w:pPr>
        <w:spacing w:after="0" w:line="259"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司应当披露评估选取参数与精算报告相关参数的适配性。</w:t>
      </w:r>
    </w:p>
    <w:p>
      <w:pPr>
        <w:spacing w:after="0" w:line="236" w:lineRule="exact"/>
        <w:rPr>
          <w:sz w:val="20"/>
          <w:szCs w:val="20"/>
          <w:color w:val="auto"/>
        </w:rPr>
      </w:pPr>
    </w:p>
    <w:p>
      <w:pPr>
        <w:ind w:left="1000"/>
        <w:spacing w:after="0" w:line="388" w:lineRule="exact"/>
        <w:rPr>
          <w:sz w:val="20"/>
          <w:szCs w:val="20"/>
          <w:color w:val="auto"/>
        </w:rPr>
      </w:pPr>
      <w:r>
        <w:rPr>
          <w:rFonts w:ascii="Arial" w:cs="Arial" w:eastAsia="Arial" w:hAnsi="Arial"/>
          <w:sz w:val="32"/>
          <w:szCs w:val="32"/>
          <w:color w:val="auto"/>
        </w:rPr>
        <w:t>3.</w:t>
      </w:r>
      <w:r>
        <w:rPr>
          <w:rFonts w:ascii="宋体" w:cs="宋体" w:eastAsia="宋体" w:hAnsi="宋体"/>
          <w:sz w:val="32"/>
          <w:szCs w:val="32"/>
          <w:color w:val="auto"/>
        </w:rPr>
        <w:t>证券公司的收益法说明应当披露证券市场周期对企</w:t>
      </w:r>
    </w:p>
    <w:p>
      <w:pPr>
        <w:spacing w:after="0" w:line="259"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业经营的影响分析，应当详细披露经纪业务、承销业务及自</w:t>
      </w:r>
    </w:p>
    <w:p>
      <w:pPr>
        <w:spacing w:after="0" w:line="259"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营业务等不同业务板块的收益参数预测过程。</w:t>
      </w:r>
    </w:p>
    <w:p>
      <w:pPr>
        <w:spacing w:after="0" w:line="270" w:lineRule="exact"/>
        <w:rPr>
          <w:sz w:val="20"/>
          <w:szCs w:val="20"/>
          <w:color w:val="auto"/>
        </w:rPr>
      </w:pPr>
    </w:p>
    <w:p>
      <w:pPr>
        <w:ind w:left="1000"/>
        <w:spacing w:after="0" w:line="354" w:lineRule="exact"/>
        <w:rPr>
          <w:sz w:val="20"/>
          <w:szCs w:val="20"/>
          <w:color w:val="auto"/>
        </w:rPr>
      </w:pPr>
      <w:r>
        <w:rPr>
          <w:rFonts w:ascii="宋体" w:cs="宋体" w:eastAsia="宋体" w:hAnsi="宋体"/>
          <w:sz w:val="31"/>
          <w:szCs w:val="31"/>
          <w:color w:val="auto"/>
        </w:rPr>
        <w:t>（七）企业执行国家有关部门制定的行业监管指标情况，</w:t>
      </w:r>
    </w:p>
    <w:p>
      <w:pPr>
        <w:spacing w:after="0" w:line="259"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并披露其对企业价值的影响。</w:t>
      </w:r>
    </w:p>
    <w:p>
      <w:pPr>
        <w:spacing w:after="0" w:line="260" w:lineRule="exact"/>
        <w:rPr>
          <w:sz w:val="20"/>
          <w:szCs w:val="20"/>
          <w:color w:val="auto"/>
        </w:rPr>
      </w:pPr>
    </w:p>
    <w:p>
      <w:pPr>
        <w:ind w:left="1000"/>
        <w:spacing w:after="0" w:line="366" w:lineRule="exact"/>
        <w:rPr>
          <w:sz w:val="20"/>
          <w:szCs w:val="20"/>
          <w:color w:val="auto"/>
        </w:rPr>
      </w:pPr>
      <w:r>
        <w:rPr>
          <w:rFonts w:ascii="宋体" w:cs="宋体" w:eastAsia="宋体" w:hAnsi="宋体"/>
          <w:sz w:val="32"/>
          <w:szCs w:val="32"/>
          <w:color w:val="auto"/>
        </w:rPr>
        <w:t>（八）评估值测算过程与结论</w:t>
      </w:r>
    </w:p>
    <w:p>
      <w:pPr>
        <w:spacing w:after="0" w:line="236" w:lineRule="exact"/>
        <w:rPr>
          <w:sz w:val="20"/>
          <w:szCs w:val="20"/>
          <w:color w:val="auto"/>
        </w:rPr>
      </w:pPr>
    </w:p>
    <w:p>
      <w:pPr>
        <w:ind w:left="1000"/>
        <w:spacing w:after="0" w:line="388" w:lineRule="exact"/>
        <w:rPr>
          <w:sz w:val="20"/>
          <w:szCs w:val="20"/>
          <w:color w:val="auto"/>
        </w:rPr>
      </w:pPr>
      <w:r>
        <w:rPr>
          <w:rFonts w:ascii="Arial" w:cs="Arial" w:eastAsia="Arial" w:hAnsi="Arial"/>
          <w:sz w:val="32"/>
          <w:szCs w:val="32"/>
          <w:color w:val="auto"/>
        </w:rPr>
        <w:t>1.</w:t>
      </w:r>
      <w:r>
        <w:rPr>
          <w:rFonts w:ascii="宋体" w:cs="宋体" w:eastAsia="宋体" w:hAnsi="宋体"/>
          <w:sz w:val="32"/>
          <w:szCs w:val="32"/>
          <w:color w:val="auto"/>
        </w:rPr>
        <w:t>列表说明公式中的各参数以及测算过程。</w:t>
      </w:r>
    </w:p>
    <w:p>
      <w:pPr>
        <w:spacing w:after="0" w:line="236" w:lineRule="exact"/>
        <w:rPr>
          <w:sz w:val="20"/>
          <w:szCs w:val="20"/>
          <w:color w:val="auto"/>
        </w:rPr>
      </w:pPr>
    </w:p>
    <w:p>
      <w:pPr>
        <w:ind w:left="1000"/>
        <w:spacing w:after="0" w:line="388" w:lineRule="exact"/>
        <w:rPr>
          <w:sz w:val="20"/>
          <w:szCs w:val="20"/>
          <w:color w:val="auto"/>
        </w:rPr>
      </w:pPr>
      <w:r>
        <w:rPr>
          <w:rFonts w:ascii="Arial" w:cs="Arial" w:eastAsia="Arial" w:hAnsi="Arial"/>
          <w:sz w:val="32"/>
          <w:szCs w:val="32"/>
          <w:color w:val="auto"/>
        </w:rPr>
        <w:t>2.</w:t>
      </w:r>
      <w:r>
        <w:rPr>
          <w:rFonts w:ascii="宋体" w:cs="宋体" w:eastAsia="宋体" w:hAnsi="宋体"/>
          <w:sz w:val="32"/>
          <w:szCs w:val="32"/>
          <w:color w:val="auto"/>
        </w:rPr>
        <w:t>终值的估算。</w:t>
      </w:r>
    </w:p>
    <w:p>
      <w:pPr>
        <w:spacing w:after="0" w:line="236" w:lineRule="exact"/>
        <w:rPr>
          <w:sz w:val="20"/>
          <w:szCs w:val="20"/>
          <w:color w:val="auto"/>
        </w:rPr>
      </w:pPr>
    </w:p>
    <w:p>
      <w:pPr>
        <w:ind w:left="1000"/>
        <w:spacing w:after="0" w:line="388" w:lineRule="exact"/>
        <w:rPr>
          <w:sz w:val="20"/>
          <w:szCs w:val="20"/>
          <w:color w:val="auto"/>
        </w:rPr>
      </w:pPr>
      <w:r>
        <w:rPr>
          <w:rFonts w:ascii="Arial" w:cs="Arial" w:eastAsia="Arial" w:hAnsi="Arial"/>
          <w:sz w:val="32"/>
          <w:szCs w:val="32"/>
          <w:color w:val="auto"/>
        </w:rPr>
        <w:t>3.</w:t>
      </w:r>
      <w:r>
        <w:rPr>
          <w:rFonts w:ascii="宋体" w:cs="宋体" w:eastAsia="宋体" w:hAnsi="宋体"/>
          <w:sz w:val="32"/>
          <w:szCs w:val="32"/>
          <w:color w:val="auto"/>
        </w:rPr>
        <w:t>评估结论。</w:t>
      </w:r>
    </w:p>
    <w:p>
      <w:pPr>
        <w:spacing w:after="0" w:line="259" w:lineRule="exact"/>
        <w:rPr>
          <w:sz w:val="20"/>
          <w:szCs w:val="20"/>
          <w:color w:val="auto"/>
        </w:rPr>
      </w:pPr>
    </w:p>
    <w:p>
      <w:pPr>
        <w:ind w:left="1000"/>
        <w:spacing w:after="0" w:line="366" w:lineRule="exact"/>
        <w:rPr>
          <w:sz w:val="20"/>
          <w:szCs w:val="20"/>
          <w:color w:val="auto"/>
        </w:rPr>
      </w:pPr>
      <w:r>
        <w:rPr>
          <w:rFonts w:ascii="宋体" w:cs="宋体" w:eastAsia="宋体" w:hAnsi="宋体"/>
          <w:sz w:val="32"/>
          <w:szCs w:val="32"/>
          <w:color w:val="auto"/>
        </w:rPr>
        <w:t>（九）其他资产和负债（如非经营性资产）的评估价值</w:t>
      </w:r>
    </w:p>
    <w:p>
      <w:pPr>
        <w:spacing w:after="0" w:line="236" w:lineRule="exact"/>
        <w:rPr>
          <w:sz w:val="20"/>
          <w:szCs w:val="20"/>
          <w:color w:val="auto"/>
        </w:rPr>
      </w:pPr>
    </w:p>
    <w:p>
      <w:pPr>
        <w:ind w:left="1000"/>
        <w:spacing w:after="0" w:line="388" w:lineRule="exact"/>
        <w:rPr>
          <w:sz w:val="20"/>
          <w:szCs w:val="20"/>
          <w:color w:val="auto"/>
        </w:rPr>
      </w:pPr>
      <w:r>
        <w:rPr>
          <w:rFonts w:ascii="Arial" w:cs="Arial" w:eastAsia="Arial" w:hAnsi="Arial"/>
          <w:sz w:val="32"/>
          <w:szCs w:val="32"/>
          <w:color w:val="auto"/>
        </w:rPr>
        <w:t>1.</w:t>
      </w:r>
      <w:r>
        <w:rPr>
          <w:rFonts w:ascii="宋体" w:cs="宋体" w:eastAsia="宋体" w:hAnsi="宋体"/>
          <w:sz w:val="32"/>
          <w:szCs w:val="32"/>
          <w:color w:val="auto"/>
        </w:rPr>
        <w:t>评估的资产和负债类型。</w:t>
      </w:r>
    </w:p>
    <w:p>
      <w:pPr>
        <w:spacing w:after="0" w:line="237" w:lineRule="exact"/>
        <w:rPr>
          <w:sz w:val="20"/>
          <w:szCs w:val="20"/>
          <w:color w:val="auto"/>
        </w:rPr>
      </w:pPr>
    </w:p>
    <w:p>
      <w:pPr>
        <w:ind w:left="1000"/>
        <w:spacing w:after="0" w:line="388" w:lineRule="exact"/>
        <w:rPr>
          <w:sz w:val="20"/>
          <w:szCs w:val="20"/>
          <w:color w:val="auto"/>
        </w:rPr>
      </w:pPr>
      <w:r>
        <w:rPr>
          <w:rFonts w:ascii="Arial" w:cs="Arial" w:eastAsia="Arial" w:hAnsi="Arial"/>
          <w:sz w:val="32"/>
          <w:szCs w:val="32"/>
          <w:color w:val="auto"/>
        </w:rPr>
        <w:t>2.</w:t>
      </w:r>
      <w:r>
        <w:rPr>
          <w:rFonts w:ascii="宋体" w:cs="宋体" w:eastAsia="宋体" w:hAnsi="宋体"/>
          <w:sz w:val="32"/>
          <w:szCs w:val="32"/>
          <w:color w:val="auto"/>
        </w:rPr>
        <w:t>评估方法。</w:t>
      </w:r>
    </w:p>
    <w:p>
      <w:pPr>
        <w:spacing w:after="0" w:line="236" w:lineRule="exact"/>
        <w:rPr>
          <w:sz w:val="20"/>
          <w:szCs w:val="20"/>
          <w:color w:val="auto"/>
        </w:rPr>
      </w:pPr>
    </w:p>
    <w:p>
      <w:pPr>
        <w:ind w:left="1000"/>
        <w:spacing w:after="0" w:line="388" w:lineRule="exact"/>
        <w:rPr>
          <w:sz w:val="20"/>
          <w:szCs w:val="20"/>
          <w:color w:val="auto"/>
        </w:rPr>
      </w:pPr>
      <w:r>
        <w:rPr>
          <w:rFonts w:ascii="Arial" w:cs="Arial" w:eastAsia="Arial" w:hAnsi="Arial"/>
          <w:sz w:val="32"/>
          <w:szCs w:val="32"/>
          <w:color w:val="auto"/>
        </w:rPr>
        <w:t>3.</w:t>
      </w:r>
      <w:r>
        <w:rPr>
          <w:rFonts w:ascii="宋体" w:cs="宋体" w:eastAsia="宋体" w:hAnsi="宋体"/>
          <w:sz w:val="32"/>
          <w:szCs w:val="32"/>
          <w:color w:val="auto"/>
        </w:rPr>
        <w:t>评估结论。</w:t>
      </w:r>
    </w:p>
    <w:p>
      <w:pPr>
        <w:spacing w:after="0" w:line="259" w:lineRule="exact"/>
        <w:rPr>
          <w:sz w:val="20"/>
          <w:szCs w:val="20"/>
          <w:color w:val="auto"/>
        </w:rPr>
      </w:pPr>
    </w:p>
    <w:p>
      <w:pPr>
        <w:ind w:left="1000"/>
        <w:spacing w:after="0" w:line="366" w:lineRule="exact"/>
        <w:rPr>
          <w:sz w:val="20"/>
          <w:szCs w:val="20"/>
          <w:color w:val="auto"/>
        </w:rPr>
      </w:pPr>
      <w:r>
        <w:rPr>
          <w:rFonts w:ascii="宋体" w:cs="宋体" w:eastAsia="宋体" w:hAnsi="宋体"/>
          <w:sz w:val="32"/>
          <w:szCs w:val="32"/>
          <w:color w:val="auto"/>
        </w:rPr>
        <w:t>（十）评估结论</w:t>
      </w:r>
    </w:p>
    <w:p>
      <w:pPr>
        <w:spacing w:after="0" w:line="259" w:lineRule="exact"/>
        <w:rPr>
          <w:sz w:val="20"/>
          <w:szCs w:val="20"/>
          <w:color w:val="auto"/>
        </w:rPr>
      </w:pPr>
    </w:p>
    <w:p>
      <w:pPr>
        <w:ind w:left="1000"/>
        <w:spacing w:after="0" w:line="366" w:lineRule="exact"/>
        <w:rPr>
          <w:sz w:val="20"/>
          <w:szCs w:val="20"/>
          <w:color w:val="auto"/>
        </w:rPr>
      </w:pPr>
      <w:r>
        <w:rPr>
          <w:rFonts w:ascii="宋体" w:cs="宋体" w:eastAsia="宋体" w:hAnsi="宋体"/>
          <w:sz w:val="32"/>
          <w:szCs w:val="32"/>
          <w:color w:val="auto"/>
        </w:rPr>
        <w:t>（十一）收益法评估明细表</w:t>
      </w:r>
    </w:p>
    <w:p>
      <w:pPr>
        <w:spacing w:after="0" w:line="259" w:lineRule="exact"/>
        <w:rPr>
          <w:sz w:val="20"/>
          <w:szCs w:val="20"/>
          <w:color w:val="auto"/>
        </w:rPr>
      </w:pPr>
    </w:p>
    <w:p>
      <w:pPr>
        <w:ind w:left="1000"/>
        <w:spacing w:after="0" w:line="366" w:lineRule="exact"/>
        <w:rPr>
          <w:sz w:val="20"/>
          <w:szCs w:val="20"/>
          <w:color w:val="auto"/>
        </w:rPr>
      </w:pPr>
      <w:r>
        <w:rPr>
          <w:rFonts w:ascii="宋体" w:cs="宋体" w:eastAsia="宋体" w:hAnsi="宋体"/>
          <w:sz w:val="32"/>
          <w:szCs w:val="32"/>
          <w:color w:val="auto"/>
        </w:rPr>
        <w:t>采用收益法进行企业价值评估，应当编制必要的收益法</w:t>
      </w:r>
    </w:p>
    <w:p>
      <w:pPr>
        <w:spacing w:after="0" w:line="259"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评估明细表。明细表中的数据应当与资产评估报告相应内容</w:t>
      </w:r>
    </w:p>
    <w:p>
      <w:pPr>
        <w:spacing w:after="0" w:line="260"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一致。</w:t>
      </w:r>
    </w:p>
    <w:p>
      <w:pPr>
        <w:spacing w:after="0" w:line="259" w:lineRule="exact"/>
        <w:rPr>
          <w:sz w:val="20"/>
          <w:szCs w:val="20"/>
          <w:color w:val="auto"/>
        </w:rPr>
      </w:pPr>
    </w:p>
    <w:p>
      <w:pPr>
        <w:ind w:left="1000"/>
        <w:spacing w:after="0" w:line="366" w:lineRule="exact"/>
        <w:rPr>
          <w:sz w:val="20"/>
          <w:szCs w:val="20"/>
          <w:color w:val="auto"/>
        </w:rPr>
      </w:pPr>
      <w:r>
        <w:rPr>
          <w:rFonts w:ascii="宋体" w:cs="宋体" w:eastAsia="宋体" w:hAnsi="宋体"/>
          <w:sz w:val="32"/>
          <w:szCs w:val="32"/>
          <w:color w:val="auto"/>
        </w:rPr>
        <w:t>不同类型的金融企业业务模式不同，适用的收益法评估</w:t>
      </w:r>
    </w:p>
    <w:p>
      <w:pPr>
        <w:spacing w:after="0" w:line="270" w:lineRule="exact"/>
        <w:rPr>
          <w:sz w:val="20"/>
          <w:szCs w:val="20"/>
          <w:color w:val="auto"/>
        </w:rPr>
      </w:pPr>
    </w:p>
    <w:p>
      <w:pPr>
        <w:jc w:val="center"/>
        <w:ind w:right="6"/>
        <w:spacing w:after="0" w:line="354" w:lineRule="exact"/>
        <w:rPr>
          <w:sz w:val="20"/>
          <w:szCs w:val="20"/>
          <w:color w:val="auto"/>
        </w:rPr>
      </w:pPr>
      <w:r>
        <w:rPr>
          <w:rFonts w:ascii="宋体" w:cs="宋体" w:eastAsia="宋体" w:hAnsi="宋体"/>
          <w:sz w:val="31"/>
          <w:szCs w:val="31"/>
          <w:color w:val="auto"/>
        </w:rPr>
        <w:t>表也有所区别。采用股权自由现金流折现模型，通常编制财</w:t>
      </w:r>
    </w:p>
    <w:p>
      <w:pPr>
        <w:sectPr>
          <w:pgSz w:w="11900" w:h="16838" w:orient="portrait"/>
          <w:cols w:equalWidth="0" w:num="1">
            <w:col w:w="9026"/>
          </w:cols>
          <w:pgMar w:left="1440" w:top="1440" w:right="1440" w:bottom="1440" w:gutter="0" w:footer="0" w:header="0"/>
        </w:sectPr>
      </w:pPr>
    </w:p>
    <w:bookmarkStart w:id="56" w:name="page57"/>
    <w:bookmarkEnd w:id="56"/>
    <w:p>
      <w:pPr>
        <w:spacing w:after="0" w:line="152" w:lineRule="exact"/>
        <w:rPr>
          <w:sz w:val="20"/>
          <w:szCs w:val="20"/>
          <w:color w:val="auto"/>
        </w:rPr>
      </w:pPr>
    </w:p>
    <w:p>
      <w:pPr>
        <w:jc w:val="both"/>
        <w:ind w:left="360" w:right="366"/>
        <w:spacing w:after="0" w:line="572" w:lineRule="exact"/>
        <w:rPr>
          <w:sz w:val="20"/>
          <w:szCs w:val="20"/>
          <w:color w:val="auto"/>
        </w:rPr>
      </w:pPr>
      <w:r>
        <w:rPr>
          <w:rFonts w:ascii="宋体" w:cs="宋体" w:eastAsia="宋体" w:hAnsi="宋体"/>
          <w:sz w:val="32"/>
          <w:szCs w:val="32"/>
          <w:color w:val="auto"/>
        </w:rPr>
        <w:t>务报表调整表（如有）、现金流量测算表、收入预测表、支出预测表、所有者权益变动表、其他综合收益预测表、折现率测算表；采用企业自由现金流折现模型，通常编制财务报表调整表（如有）、现金流量测算表、收入预测表、支出预测表、折旧摊销预测表、资本性支出预测表、净流动资金增加额预测表、折现率测算表。</w:t>
      </w:r>
    </w:p>
    <w:p>
      <w:pPr>
        <w:spacing w:after="0" w:line="313" w:lineRule="exact"/>
        <w:rPr>
          <w:sz w:val="20"/>
          <w:szCs w:val="20"/>
          <w:color w:val="auto"/>
        </w:rPr>
      </w:pPr>
    </w:p>
    <w:p>
      <w:pPr>
        <w:jc w:val="both"/>
        <w:ind w:left="360" w:right="366" w:firstLine="641"/>
        <w:spacing w:after="0" w:line="522" w:lineRule="exact"/>
        <w:rPr>
          <w:sz w:val="20"/>
          <w:szCs w:val="20"/>
          <w:color w:val="auto"/>
        </w:rPr>
      </w:pPr>
      <w:r>
        <w:rPr>
          <w:rFonts w:ascii="宋体" w:cs="宋体" w:eastAsia="宋体" w:hAnsi="宋体"/>
          <w:sz w:val="32"/>
          <w:szCs w:val="32"/>
          <w:color w:val="auto"/>
        </w:rPr>
        <w:t>收益法评估表表头应当含有项目名称、被评估单位、评估基准日、金额单位等；必要时，在表外可以对各项数据进行解释。</w:t>
      </w:r>
    </w:p>
    <w:p>
      <w:pPr>
        <w:spacing w:after="0" w:line="308" w:lineRule="exact"/>
        <w:rPr>
          <w:sz w:val="20"/>
          <w:szCs w:val="20"/>
          <w:color w:val="auto"/>
        </w:rPr>
      </w:pPr>
    </w:p>
    <w:p>
      <w:pPr>
        <w:jc w:val="both"/>
        <w:ind w:left="360" w:right="366" w:firstLine="641"/>
        <w:spacing w:after="0" w:line="470" w:lineRule="exact"/>
        <w:rPr>
          <w:sz w:val="20"/>
          <w:szCs w:val="20"/>
          <w:color w:val="auto"/>
        </w:rPr>
      </w:pPr>
      <w:r>
        <w:rPr>
          <w:rFonts w:ascii="宋体" w:cs="宋体" w:eastAsia="宋体" w:hAnsi="宋体"/>
          <w:sz w:val="32"/>
          <w:szCs w:val="32"/>
          <w:color w:val="auto"/>
        </w:rPr>
        <w:t>收益法评估表应当编制以人民币万元为金额单位的收益法评估汇总表。</w:t>
      </w:r>
    </w:p>
    <w:p>
      <w:pPr>
        <w:spacing w:after="0" w:line="260" w:lineRule="exact"/>
        <w:rPr>
          <w:sz w:val="20"/>
          <w:szCs w:val="20"/>
          <w:color w:val="auto"/>
        </w:rPr>
      </w:pPr>
    </w:p>
    <w:p>
      <w:pPr>
        <w:ind w:left="1000"/>
        <w:spacing w:after="0" w:line="366" w:lineRule="exact"/>
        <w:rPr>
          <w:sz w:val="20"/>
          <w:szCs w:val="20"/>
          <w:color w:val="auto"/>
        </w:rPr>
      </w:pPr>
      <w:r>
        <w:rPr>
          <w:rFonts w:ascii="宋体" w:cs="宋体" w:eastAsia="宋体" w:hAnsi="宋体"/>
          <w:sz w:val="32"/>
          <w:szCs w:val="32"/>
          <w:color w:val="auto"/>
        </w:rPr>
        <w:t>五、市场法评估技术说明</w:t>
      </w:r>
    </w:p>
    <w:p>
      <w:pPr>
        <w:spacing w:after="0" w:line="307" w:lineRule="exact"/>
        <w:rPr>
          <w:sz w:val="20"/>
          <w:szCs w:val="20"/>
          <w:color w:val="auto"/>
        </w:rPr>
      </w:pPr>
    </w:p>
    <w:p>
      <w:pPr>
        <w:jc w:val="both"/>
        <w:ind w:left="360" w:right="366" w:firstLine="641"/>
        <w:spacing w:after="0" w:line="522" w:lineRule="exact"/>
        <w:rPr>
          <w:sz w:val="20"/>
          <w:szCs w:val="20"/>
          <w:color w:val="auto"/>
        </w:rPr>
      </w:pPr>
      <w:r>
        <w:rPr>
          <w:rFonts w:ascii="宋体" w:cs="宋体" w:eastAsia="宋体" w:hAnsi="宋体"/>
          <w:sz w:val="32"/>
          <w:szCs w:val="32"/>
          <w:color w:val="auto"/>
        </w:rPr>
        <w:t>采用市场法进行企业价值评估，应当根据所采用的具体评估方法（如上市公司比较法或者交易案例比较法）确定评估技术说明的编写内容。一般编写内容指引如下。</w:t>
      </w:r>
    </w:p>
    <w:p>
      <w:pPr>
        <w:spacing w:after="0" w:line="307" w:lineRule="exact"/>
        <w:rPr>
          <w:sz w:val="20"/>
          <w:szCs w:val="20"/>
          <w:color w:val="auto"/>
        </w:rPr>
      </w:pPr>
    </w:p>
    <w:p>
      <w:pPr>
        <w:jc w:val="both"/>
        <w:ind w:left="360" w:right="366" w:firstLine="641"/>
        <w:spacing w:after="0" w:line="470" w:lineRule="exact"/>
        <w:rPr>
          <w:sz w:val="20"/>
          <w:szCs w:val="20"/>
          <w:color w:val="auto"/>
        </w:rPr>
      </w:pPr>
      <w:r>
        <w:rPr>
          <w:rFonts w:ascii="宋体" w:cs="宋体" w:eastAsia="宋体" w:hAnsi="宋体"/>
          <w:sz w:val="32"/>
          <w:szCs w:val="32"/>
          <w:color w:val="auto"/>
        </w:rPr>
        <w:t>（一）说明评估对象，包括企业整体价值、股东全部权益、股东部分权益。</w:t>
      </w:r>
    </w:p>
    <w:p>
      <w:pPr>
        <w:spacing w:after="0" w:line="308" w:lineRule="exact"/>
        <w:rPr>
          <w:sz w:val="20"/>
          <w:szCs w:val="20"/>
          <w:color w:val="auto"/>
        </w:rPr>
      </w:pPr>
    </w:p>
    <w:p>
      <w:pPr>
        <w:jc w:val="both"/>
        <w:ind w:left="360" w:right="366" w:firstLine="641"/>
        <w:spacing w:after="0" w:line="470" w:lineRule="exact"/>
        <w:rPr>
          <w:sz w:val="20"/>
          <w:szCs w:val="20"/>
          <w:color w:val="auto"/>
        </w:rPr>
      </w:pPr>
      <w:r>
        <w:rPr>
          <w:rFonts w:ascii="宋体" w:cs="宋体" w:eastAsia="宋体" w:hAnsi="宋体"/>
          <w:sz w:val="32"/>
          <w:szCs w:val="32"/>
          <w:color w:val="auto"/>
        </w:rPr>
        <w:t>（二）选取的市场法的定义、原理、应用前提及评估选用的理由。</w:t>
      </w:r>
    </w:p>
    <w:p>
      <w:pPr>
        <w:spacing w:after="0" w:line="272" w:lineRule="exact"/>
        <w:rPr>
          <w:sz w:val="20"/>
          <w:szCs w:val="20"/>
          <w:color w:val="auto"/>
        </w:rPr>
      </w:pPr>
    </w:p>
    <w:p>
      <w:pPr>
        <w:ind w:left="1000"/>
        <w:spacing w:after="0" w:line="354" w:lineRule="exact"/>
        <w:rPr>
          <w:sz w:val="20"/>
          <w:szCs w:val="20"/>
          <w:color w:val="auto"/>
        </w:rPr>
      </w:pPr>
      <w:r>
        <w:rPr>
          <w:rFonts w:ascii="宋体" w:cs="宋体" w:eastAsia="宋体" w:hAnsi="宋体"/>
          <w:sz w:val="31"/>
          <w:szCs w:val="31"/>
          <w:color w:val="auto"/>
        </w:rPr>
        <w:t>（三）对被评估单位所在行业发展状况与前景进行分析。</w:t>
      </w:r>
    </w:p>
    <w:p>
      <w:pPr>
        <w:spacing w:after="0" w:line="259" w:lineRule="exact"/>
        <w:rPr>
          <w:sz w:val="20"/>
          <w:szCs w:val="20"/>
          <w:color w:val="auto"/>
        </w:rPr>
      </w:pPr>
    </w:p>
    <w:p>
      <w:pPr>
        <w:ind w:left="1000"/>
        <w:spacing w:after="0" w:line="366" w:lineRule="exact"/>
        <w:rPr>
          <w:sz w:val="20"/>
          <w:szCs w:val="20"/>
          <w:color w:val="auto"/>
        </w:rPr>
      </w:pPr>
      <w:r>
        <w:rPr>
          <w:rFonts w:ascii="宋体" w:cs="宋体" w:eastAsia="宋体" w:hAnsi="宋体"/>
          <w:sz w:val="32"/>
          <w:szCs w:val="32"/>
          <w:color w:val="auto"/>
        </w:rPr>
        <w:t>（四）搜集相关资料，对评估对象基本情况进行阐述。</w:t>
      </w:r>
    </w:p>
    <w:p>
      <w:pPr>
        <w:spacing w:after="0" w:line="259" w:lineRule="exact"/>
        <w:rPr>
          <w:sz w:val="20"/>
          <w:szCs w:val="20"/>
          <w:color w:val="auto"/>
        </w:rPr>
      </w:pPr>
    </w:p>
    <w:p>
      <w:pPr>
        <w:ind w:left="1000"/>
        <w:spacing w:after="0" w:line="366" w:lineRule="exact"/>
        <w:rPr>
          <w:sz w:val="20"/>
          <w:szCs w:val="20"/>
          <w:color w:val="auto"/>
        </w:rPr>
      </w:pPr>
      <w:r>
        <w:rPr>
          <w:rFonts w:ascii="宋体" w:cs="宋体" w:eastAsia="宋体" w:hAnsi="宋体"/>
          <w:sz w:val="32"/>
          <w:szCs w:val="32"/>
          <w:color w:val="auto"/>
        </w:rPr>
        <w:t>（五）分析、确定可比公司，对可比公司与评估对象的</w:t>
      </w:r>
    </w:p>
    <w:p>
      <w:pPr>
        <w:sectPr>
          <w:pgSz w:w="11900" w:h="16838" w:orient="portrait"/>
          <w:cols w:equalWidth="0" w:num="1">
            <w:col w:w="9026"/>
          </w:cols>
          <w:pgMar w:left="1440" w:top="1440" w:right="1440" w:bottom="1440" w:gutter="0" w:footer="0" w:header="0"/>
        </w:sectPr>
      </w:pPr>
    </w:p>
    <w:bookmarkStart w:id="57" w:name="page58"/>
    <w:bookmarkEnd w:id="57"/>
    <w:p>
      <w:pPr>
        <w:spacing w:after="0" w:line="104"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可比性进行分析。</w:t>
      </w:r>
    </w:p>
    <w:p>
      <w:pPr>
        <w:spacing w:after="0" w:line="259" w:lineRule="exact"/>
        <w:rPr>
          <w:sz w:val="20"/>
          <w:szCs w:val="20"/>
          <w:color w:val="auto"/>
        </w:rPr>
      </w:pPr>
    </w:p>
    <w:p>
      <w:pPr>
        <w:ind w:left="1000"/>
        <w:spacing w:after="0" w:line="366" w:lineRule="exact"/>
        <w:rPr>
          <w:sz w:val="20"/>
          <w:szCs w:val="20"/>
          <w:color w:val="auto"/>
        </w:rPr>
      </w:pPr>
      <w:r>
        <w:rPr>
          <w:rFonts w:ascii="宋体" w:cs="宋体" w:eastAsia="宋体" w:hAnsi="宋体"/>
          <w:sz w:val="32"/>
          <w:szCs w:val="32"/>
          <w:color w:val="auto"/>
        </w:rPr>
        <w:t>（六）确定可比因素的方法和过程</w:t>
      </w:r>
    </w:p>
    <w:p>
      <w:pPr>
        <w:spacing w:after="0" w:line="236" w:lineRule="exact"/>
        <w:rPr>
          <w:sz w:val="20"/>
          <w:szCs w:val="20"/>
          <w:color w:val="auto"/>
        </w:rPr>
      </w:pPr>
    </w:p>
    <w:p>
      <w:pPr>
        <w:ind w:left="1000"/>
        <w:spacing w:after="0" w:line="388" w:lineRule="exact"/>
        <w:rPr>
          <w:sz w:val="20"/>
          <w:szCs w:val="20"/>
          <w:color w:val="auto"/>
        </w:rPr>
      </w:pPr>
      <w:r>
        <w:rPr>
          <w:rFonts w:ascii="Arial" w:cs="Arial" w:eastAsia="Arial" w:hAnsi="Arial"/>
          <w:sz w:val="32"/>
          <w:szCs w:val="32"/>
          <w:color w:val="auto"/>
        </w:rPr>
        <w:t>1</w:t>
      </w:r>
      <w:r>
        <w:rPr>
          <w:rFonts w:ascii="宋体" w:cs="宋体" w:eastAsia="宋体" w:hAnsi="宋体"/>
          <w:sz w:val="32"/>
          <w:szCs w:val="32"/>
          <w:color w:val="auto"/>
        </w:rPr>
        <w:t>．对可比因素进行分析时，除考虑主要财务指标外，</w:t>
      </w:r>
    </w:p>
    <w:p>
      <w:pPr>
        <w:spacing w:after="0" w:line="259"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还应当结合不同种类的金融企业的特点选择恰当的可比因</w:t>
      </w:r>
    </w:p>
    <w:p>
      <w:pPr>
        <w:spacing w:after="0" w:line="259"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素，如：</w:t>
      </w:r>
    </w:p>
    <w:p>
      <w:pPr>
        <w:spacing w:after="0" w:line="236" w:lineRule="exact"/>
        <w:rPr>
          <w:sz w:val="20"/>
          <w:szCs w:val="20"/>
          <w:color w:val="auto"/>
        </w:rPr>
      </w:pPr>
    </w:p>
    <w:p>
      <w:pPr>
        <w:ind w:left="1000"/>
        <w:spacing w:after="0" w:line="388" w:lineRule="exact"/>
        <w:rPr>
          <w:sz w:val="20"/>
          <w:szCs w:val="20"/>
          <w:color w:val="auto"/>
        </w:rPr>
      </w:pPr>
      <w:r>
        <w:rPr>
          <w:rFonts w:ascii="宋体" w:cs="宋体" w:eastAsia="宋体" w:hAnsi="宋体"/>
          <w:sz w:val="32"/>
          <w:szCs w:val="32"/>
          <w:color w:val="auto"/>
        </w:rPr>
        <w:t>（</w:t>
      </w:r>
      <w:r>
        <w:rPr>
          <w:rFonts w:ascii="Arial" w:cs="Arial" w:eastAsia="Arial" w:hAnsi="Arial"/>
          <w:sz w:val="32"/>
          <w:szCs w:val="32"/>
          <w:color w:val="auto"/>
        </w:rPr>
        <w:t>1</w:t>
      </w:r>
      <w:r>
        <w:rPr>
          <w:rFonts w:ascii="宋体" w:cs="宋体" w:eastAsia="宋体" w:hAnsi="宋体"/>
          <w:sz w:val="32"/>
          <w:szCs w:val="32"/>
          <w:color w:val="auto"/>
        </w:rPr>
        <w:t>）银行的存贷款规模、营业网点、客户质量与数量</w:t>
      </w:r>
    </w:p>
    <w:p>
      <w:pPr>
        <w:spacing w:after="0" w:line="259"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等因素。</w:t>
      </w:r>
    </w:p>
    <w:p>
      <w:pPr>
        <w:spacing w:after="0" w:line="237" w:lineRule="exact"/>
        <w:rPr>
          <w:sz w:val="20"/>
          <w:szCs w:val="20"/>
          <w:color w:val="auto"/>
        </w:rPr>
      </w:pPr>
    </w:p>
    <w:p>
      <w:pPr>
        <w:ind w:left="1000"/>
        <w:spacing w:after="0" w:line="388" w:lineRule="exact"/>
        <w:rPr>
          <w:sz w:val="20"/>
          <w:szCs w:val="20"/>
          <w:color w:val="auto"/>
        </w:rPr>
      </w:pPr>
      <w:r>
        <w:rPr>
          <w:rFonts w:ascii="宋体" w:cs="宋体" w:eastAsia="宋体" w:hAnsi="宋体"/>
          <w:sz w:val="32"/>
          <w:szCs w:val="32"/>
          <w:color w:val="auto"/>
        </w:rPr>
        <w:t>（</w:t>
      </w:r>
      <w:r>
        <w:rPr>
          <w:rFonts w:ascii="Arial" w:cs="Arial" w:eastAsia="Arial" w:hAnsi="Arial"/>
          <w:sz w:val="32"/>
          <w:szCs w:val="32"/>
          <w:color w:val="auto"/>
        </w:rPr>
        <w:t>2</w:t>
      </w:r>
      <w:r>
        <w:rPr>
          <w:rFonts w:ascii="宋体" w:cs="宋体" w:eastAsia="宋体" w:hAnsi="宋体"/>
          <w:sz w:val="32"/>
          <w:szCs w:val="32"/>
          <w:color w:val="auto"/>
        </w:rPr>
        <w:t>）保险公司的客户质量与数量、营业网点等因素。</w:t>
      </w:r>
    </w:p>
    <w:p>
      <w:pPr>
        <w:spacing w:after="0" w:line="236" w:lineRule="exact"/>
        <w:rPr>
          <w:sz w:val="20"/>
          <w:szCs w:val="20"/>
          <w:color w:val="auto"/>
        </w:rPr>
      </w:pPr>
    </w:p>
    <w:p>
      <w:pPr>
        <w:ind w:left="1000"/>
        <w:spacing w:after="0" w:line="388" w:lineRule="exact"/>
        <w:rPr>
          <w:sz w:val="20"/>
          <w:szCs w:val="20"/>
          <w:color w:val="auto"/>
        </w:rPr>
      </w:pPr>
      <w:r>
        <w:rPr>
          <w:rFonts w:ascii="宋体" w:cs="宋体" w:eastAsia="宋体" w:hAnsi="宋体"/>
          <w:sz w:val="32"/>
          <w:szCs w:val="32"/>
          <w:color w:val="auto"/>
        </w:rPr>
        <w:t>（</w:t>
      </w:r>
      <w:r>
        <w:rPr>
          <w:rFonts w:ascii="Arial" w:cs="Arial" w:eastAsia="Arial" w:hAnsi="Arial"/>
          <w:sz w:val="32"/>
          <w:szCs w:val="32"/>
          <w:color w:val="auto"/>
        </w:rPr>
        <w:t>3</w:t>
      </w:r>
      <w:r>
        <w:rPr>
          <w:rFonts w:ascii="宋体" w:cs="宋体" w:eastAsia="宋体" w:hAnsi="宋体"/>
          <w:sz w:val="32"/>
          <w:szCs w:val="32"/>
          <w:color w:val="auto"/>
        </w:rPr>
        <w:t>）证券公司的证券市场周期对企业经营的影响，客</w:t>
      </w:r>
    </w:p>
    <w:p>
      <w:pPr>
        <w:spacing w:after="0" w:line="259"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户质量与数量、营业网点、经营模式等因素。</w:t>
      </w:r>
    </w:p>
    <w:p>
      <w:pPr>
        <w:spacing w:after="0" w:line="236" w:lineRule="exact"/>
        <w:rPr>
          <w:sz w:val="20"/>
          <w:szCs w:val="20"/>
          <w:color w:val="auto"/>
        </w:rPr>
      </w:pPr>
    </w:p>
    <w:p>
      <w:pPr>
        <w:ind w:left="1000"/>
        <w:spacing w:after="0" w:line="388" w:lineRule="exact"/>
        <w:rPr>
          <w:sz w:val="20"/>
          <w:szCs w:val="20"/>
          <w:color w:val="auto"/>
        </w:rPr>
      </w:pPr>
      <w:r>
        <w:rPr>
          <w:rFonts w:ascii="Arial" w:cs="Arial" w:eastAsia="Arial" w:hAnsi="Arial"/>
          <w:sz w:val="32"/>
          <w:szCs w:val="32"/>
          <w:color w:val="auto"/>
        </w:rPr>
        <w:t>2</w:t>
      </w:r>
      <w:r>
        <w:rPr>
          <w:rFonts w:ascii="宋体" w:cs="宋体" w:eastAsia="宋体" w:hAnsi="宋体"/>
          <w:sz w:val="32"/>
          <w:szCs w:val="32"/>
          <w:color w:val="auto"/>
        </w:rPr>
        <w:t>．说明各项可比因素的确定过程。</w:t>
      </w:r>
    </w:p>
    <w:p>
      <w:pPr>
        <w:spacing w:after="0" w:line="270" w:lineRule="exact"/>
        <w:rPr>
          <w:sz w:val="20"/>
          <w:szCs w:val="20"/>
          <w:color w:val="auto"/>
        </w:rPr>
      </w:pPr>
    </w:p>
    <w:p>
      <w:pPr>
        <w:ind w:left="1000"/>
        <w:spacing w:after="0" w:line="354" w:lineRule="exact"/>
        <w:rPr>
          <w:sz w:val="20"/>
          <w:szCs w:val="20"/>
          <w:color w:val="auto"/>
        </w:rPr>
      </w:pPr>
      <w:r>
        <w:rPr>
          <w:rFonts w:ascii="宋体" w:cs="宋体" w:eastAsia="宋体" w:hAnsi="宋体"/>
          <w:sz w:val="31"/>
          <w:szCs w:val="31"/>
          <w:color w:val="auto"/>
        </w:rPr>
        <w:t>（七）企业执行国家有关部门制定的行业监管指标情况，</w:t>
      </w:r>
    </w:p>
    <w:p>
      <w:pPr>
        <w:spacing w:after="0" w:line="259"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并披露其对企业价值的影响。</w:t>
      </w:r>
    </w:p>
    <w:p>
      <w:pPr>
        <w:spacing w:after="0" w:line="259" w:lineRule="exact"/>
        <w:rPr>
          <w:sz w:val="20"/>
          <w:szCs w:val="20"/>
          <w:color w:val="auto"/>
        </w:rPr>
      </w:pPr>
    </w:p>
    <w:p>
      <w:pPr>
        <w:ind w:left="1000"/>
        <w:spacing w:after="0" w:line="366" w:lineRule="exact"/>
        <w:rPr>
          <w:sz w:val="20"/>
          <w:szCs w:val="20"/>
          <w:color w:val="auto"/>
        </w:rPr>
      </w:pPr>
      <w:r>
        <w:rPr>
          <w:rFonts w:ascii="宋体" w:cs="宋体" w:eastAsia="宋体" w:hAnsi="宋体"/>
          <w:sz w:val="32"/>
          <w:szCs w:val="32"/>
          <w:color w:val="auto"/>
        </w:rPr>
        <w:t>（八）评估值的估算过程、评估结论及分析。</w:t>
      </w:r>
    </w:p>
    <w:p>
      <w:pPr>
        <w:spacing w:after="0" w:line="259" w:lineRule="exact"/>
        <w:rPr>
          <w:sz w:val="20"/>
          <w:szCs w:val="20"/>
          <w:color w:val="auto"/>
        </w:rPr>
      </w:pPr>
    </w:p>
    <w:p>
      <w:pPr>
        <w:ind w:left="1000"/>
        <w:spacing w:after="0" w:line="366" w:lineRule="exact"/>
        <w:rPr>
          <w:sz w:val="20"/>
          <w:szCs w:val="20"/>
          <w:color w:val="auto"/>
        </w:rPr>
      </w:pPr>
      <w:r>
        <w:rPr>
          <w:rFonts w:ascii="宋体" w:cs="宋体" w:eastAsia="宋体" w:hAnsi="宋体"/>
          <w:sz w:val="32"/>
          <w:szCs w:val="32"/>
          <w:color w:val="auto"/>
        </w:rPr>
        <w:t>六、评估结论及分析</w:t>
      </w:r>
    </w:p>
    <w:p>
      <w:pPr>
        <w:spacing w:after="0" w:line="259" w:lineRule="exact"/>
        <w:rPr>
          <w:sz w:val="20"/>
          <w:szCs w:val="20"/>
          <w:color w:val="auto"/>
        </w:rPr>
      </w:pPr>
    </w:p>
    <w:p>
      <w:pPr>
        <w:ind w:left="1000"/>
        <w:spacing w:after="0" w:line="366" w:lineRule="exact"/>
        <w:rPr>
          <w:sz w:val="20"/>
          <w:szCs w:val="20"/>
          <w:color w:val="auto"/>
        </w:rPr>
      </w:pPr>
      <w:r>
        <w:rPr>
          <w:rFonts w:ascii="宋体" w:cs="宋体" w:eastAsia="宋体" w:hAnsi="宋体"/>
          <w:sz w:val="32"/>
          <w:szCs w:val="32"/>
          <w:color w:val="auto"/>
        </w:rPr>
        <w:t>（一）评估结论</w:t>
      </w:r>
    </w:p>
    <w:p>
      <w:pPr>
        <w:spacing w:after="0" w:line="236" w:lineRule="exact"/>
        <w:rPr>
          <w:sz w:val="20"/>
          <w:szCs w:val="20"/>
          <w:color w:val="auto"/>
        </w:rPr>
      </w:pPr>
    </w:p>
    <w:p>
      <w:pPr>
        <w:ind w:left="1000"/>
        <w:spacing w:after="0" w:line="388" w:lineRule="exact"/>
        <w:rPr>
          <w:sz w:val="20"/>
          <w:szCs w:val="20"/>
          <w:color w:val="auto"/>
        </w:rPr>
      </w:pPr>
      <w:r>
        <w:rPr>
          <w:rFonts w:ascii="Arial" w:cs="Arial" w:eastAsia="Arial" w:hAnsi="Arial"/>
          <w:sz w:val="32"/>
          <w:szCs w:val="32"/>
          <w:color w:val="auto"/>
        </w:rPr>
        <w:t>1</w:t>
      </w:r>
      <w:r>
        <w:rPr>
          <w:rFonts w:ascii="宋体" w:cs="宋体" w:eastAsia="宋体" w:hAnsi="宋体"/>
          <w:sz w:val="32"/>
          <w:szCs w:val="32"/>
          <w:color w:val="auto"/>
        </w:rPr>
        <w:t>．用文字叙述账面价值和评估价值，采用两种或者两</w:t>
      </w:r>
    </w:p>
    <w:p>
      <w:pPr>
        <w:spacing w:after="0" w:line="270" w:lineRule="exact"/>
        <w:rPr>
          <w:sz w:val="20"/>
          <w:szCs w:val="20"/>
          <w:color w:val="auto"/>
        </w:rPr>
      </w:pPr>
    </w:p>
    <w:p>
      <w:pPr>
        <w:jc w:val="center"/>
        <w:ind w:right="6"/>
        <w:spacing w:after="0" w:line="354" w:lineRule="exact"/>
        <w:rPr>
          <w:sz w:val="20"/>
          <w:szCs w:val="20"/>
          <w:color w:val="auto"/>
        </w:rPr>
      </w:pPr>
      <w:r>
        <w:rPr>
          <w:rFonts w:ascii="宋体" w:cs="宋体" w:eastAsia="宋体" w:hAnsi="宋体"/>
          <w:sz w:val="31"/>
          <w:szCs w:val="31"/>
          <w:color w:val="auto"/>
        </w:rPr>
        <w:t>种以上方法进行企业价值评估，应当分别说明评估价值，以</w:t>
      </w:r>
    </w:p>
    <w:p>
      <w:pPr>
        <w:spacing w:after="0" w:line="259"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及不同评估方法结论的差异及其原因和确定最终评估结论</w:t>
      </w:r>
    </w:p>
    <w:p>
      <w:pPr>
        <w:spacing w:after="0" w:line="260"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的理由。</w:t>
      </w:r>
    </w:p>
    <w:p>
      <w:pPr>
        <w:spacing w:after="0" w:line="236" w:lineRule="exact"/>
        <w:rPr>
          <w:sz w:val="20"/>
          <w:szCs w:val="20"/>
          <w:color w:val="auto"/>
        </w:rPr>
      </w:pPr>
    </w:p>
    <w:p>
      <w:pPr>
        <w:ind w:left="1000"/>
        <w:spacing w:after="0" w:line="388" w:lineRule="exact"/>
        <w:rPr>
          <w:sz w:val="20"/>
          <w:szCs w:val="20"/>
          <w:color w:val="auto"/>
        </w:rPr>
      </w:pPr>
      <w:r>
        <w:rPr>
          <w:rFonts w:ascii="Arial" w:cs="Arial" w:eastAsia="Arial" w:hAnsi="Arial"/>
          <w:sz w:val="32"/>
          <w:szCs w:val="32"/>
          <w:color w:val="auto"/>
        </w:rPr>
        <w:t>2</w:t>
      </w:r>
      <w:r>
        <w:rPr>
          <w:rFonts w:ascii="宋体" w:cs="宋体" w:eastAsia="宋体" w:hAnsi="宋体"/>
          <w:sz w:val="32"/>
          <w:szCs w:val="32"/>
          <w:color w:val="auto"/>
        </w:rPr>
        <w:t>．含有</w:t>
      </w:r>
      <w:r>
        <w:rPr>
          <w:rFonts w:ascii="Arial" w:cs="Arial" w:eastAsia="Arial" w:hAnsi="Arial"/>
          <w:sz w:val="32"/>
          <w:szCs w:val="32"/>
          <w:color w:val="auto"/>
        </w:rPr>
        <w:t>“</w:t>
      </w:r>
      <w:r>
        <w:rPr>
          <w:rFonts w:ascii="宋体" w:cs="宋体" w:eastAsia="宋体" w:hAnsi="宋体"/>
          <w:sz w:val="32"/>
          <w:szCs w:val="32"/>
          <w:color w:val="auto"/>
        </w:rPr>
        <w:t>评估结论根据以上评估工作得出</w:t>
      </w:r>
      <w:r>
        <w:rPr>
          <w:rFonts w:ascii="Arial" w:cs="Arial" w:eastAsia="Arial" w:hAnsi="Arial"/>
          <w:sz w:val="32"/>
          <w:szCs w:val="32"/>
          <w:color w:val="auto"/>
        </w:rPr>
        <w:t>”</w:t>
      </w:r>
      <w:r>
        <w:rPr>
          <w:rFonts w:ascii="宋体" w:cs="宋体" w:eastAsia="宋体" w:hAnsi="宋体"/>
          <w:sz w:val="32"/>
          <w:szCs w:val="32"/>
          <w:color w:val="auto"/>
        </w:rPr>
        <w:t>的字样。</w:t>
      </w:r>
    </w:p>
    <w:p>
      <w:pPr>
        <w:spacing w:after="0" w:line="236" w:lineRule="exact"/>
        <w:rPr>
          <w:sz w:val="20"/>
          <w:szCs w:val="20"/>
          <w:color w:val="auto"/>
        </w:rPr>
      </w:pPr>
    </w:p>
    <w:p>
      <w:pPr>
        <w:ind w:left="1000"/>
        <w:spacing w:after="0" w:line="388" w:lineRule="exact"/>
        <w:rPr>
          <w:sz w:val="20"/>
          <w:szCs w:val="20"/>
          <w:color w:val="auto"/>
        </w:rPr>
      </w:pPr>
      <w:r>
        <w:rPr>
          <w:rFonts w:ascii="Arial" w:cs="Arial" w:eastAsia="Arial" w:hAnsi="Arial"/>
          <w:sz w:val="32"/>
          <w:szCs w:val="32"/>
          <w:color w:val="auto"/>
        </w:rPr>
        <w:t>3</w:t>
      </w:r>
      <w:r>
        <w:rPr>
          <w:rFonts w:ascii="宋体" w:cs="宋体" w:eastAsia="宋体" w:hAnsi="宋体"/>
          <w:sz w:val="32"/>
          <w:szCs w:val="32"/>
          <w:color w:val="auto"/>
        </w:rPr>
        <w:t>．对于存在多家被评估单位的情况，应当分别说明评</w:t>
      </w:r>
    </w:p>
    <w:p>
      <w:pPr>
        <w:sectPr>
          <w:pgSz w:w="11900" w:h="16838" w:orient="portrait"/>
          <w:cols w:equalWidth="0" w:num="1">
            <w:col w:w="9026"/>
          </w:cols>
          <w:pgMar w:left="1440" w:top="1440" w:right="1440" w:bottom="1440" w:gutter="0" w:footer="0" w:header="0"/>
        </w:sectPr>
      </w:pPr>
    </w:p>
    <w:bookmarkStart w:id="58" w:name="page59"/>
    <w:bookmarkEnd w:id="58"/>
    <w:p>
      <w:pPr>
        <w:spacing w:after="0" w:line="104"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估价值。</w:t>
      </w:r>
    </w:p>
    <w:p>
      <w:pPr>
        <w:spacing w:after="0" w:line="249" w:lineRule="exact"/>
        <w:rPr>
          <w:sz w:val="20"/>
          <w:szCs w:val="20"/>
          <w:color w:val="auto"/>
        </w:rPr>
      </w:pPr>
    </w:p>
    <w:p>
      <w:pPr>
        <w:ind w:left="1000"/>
        <w:spacing w:after="0" w:line="376" w:lineRule="exact"/>
        <w:rPr>
          <w:sz w:val="20"/>
          <w:szCs w:val="20"/>
          <w:color w:val="auto"/>
        </w:rPr>
      </w:pPr>
      <w:r>
        <w:rPr>
          <w:rFonts w:ascii="Arial" w:cs="Arial" w:eastAsia="Arial" w:hAnsi="Arial"/>
          <w:sz w:val="31"/>
          <w:szCs w:val="31"/>
          <w:color w:val="auto"/>
        </w:rPr>
        <w:t>4</w:t>
      </w:r>
      <w:r>
        <w:rPr>
          <w:rFonts w:ascii="宋体" w:cs="宋体" w:eastAsia="宋体" w:hAnsi="宋体"/>
          <w:sz w:val="31"/>
          <w:szCs w:val="31"/>
          <w:color w:val="auto"/>
        </w:rPr>
        <w:t>．对于不纳入评估汇总表的评估结果，应当单独列示。</w:t>
      </w:r>
    </w:p>
    <w:p>
      <w:pPr>
        <w:spacing w:after="0" w:line="259" w:lineRule="exact"/>
        <w:rPr>
          <w:sz w:val="20"/>
          <w:szCs w:val="20"/>
          <w:color w:val="auto"/>
        </w:rPr>
      </w:pPr>
    </w:p>
    <w:p>
      <w:pPr>
        <w:ind w:left="1000"/>
        <w:spacing w:after="0" w:line="366" w:lineRule="exact"/>
        <w:rPr>
          <w:sz w:val="20"/>
          <w:szCs w:val="20"/>
          <w:color w:val="auto"/>
        </w:rPr>
      </w:pPr>
      <w:r>
        <w:rPr>
          <w:rFonts w:ascii="宋体" w:cs="宋体" w:eastAsia="宋体" w:hAnsi="宋体"/>
          <w:sz w:val="32"/>
          <w:szCs w:val="32"/>
          <w:color w:val="auto"/>
        </w:rPr>
        <w:t>（二）评估结论与账面价值比较变动情况及原因</w:t>
      </w:r>
    </w:p>
    <w:p>
      <w:pPr>
        <w:spacing w:after="0" w:line="236" w:lineRule="exact"/>
        <w:rPr>
          <w:sz w:val="20"/>
          <w:szCs w:val="20"/>
          <w:color w:val="auto"/>
        </w:rPr>
      </w:pPr>
    </w:p>
    <w:p>
      <w:pPr>
        <w:ind w:left="1000"/>
        <w:spacing w:after="0" w:line="388" w:lineRule="exact"/>
        <w:rPr>
          <w:sz w:val="20"/>
          <w:szCs w:val="20"/>
          <w:color w:val="auto"/>
        </w:rPr>
      </w:pPr>
      <w:r>
        <w:rPr>
          <w:rFonts w:ascii="Arial" w:cs="Arial" w:eastAsia="Arial" w:hAnsi="Arial"/>
          <w:sz w:val="32"/>
          <w:szCs w:val="32"/>
          <w:color w:val="auto"/>
        </w:rPr>
        <w:t>1</w:t>
      </w:r>
      <w:r>
        <w:rPr>
          <w:rFonts w:ascii="宋体" w:cs="宋体" w:eastAsia="宋体" w:hAnsi="宋体"/>
          <w:sz w:val="32"/>
          <w:szCs w:val="32"/>
          <w:color w:val="auto"/>
        </w:rPr>
        <w:t>．说明评估结论与账面价值比较变动情况，包括绝对</w:t>
      </w:r>
    </w:p>
    <w:p>
      <w:pPr>
        <w:spacing w:after="0" w:line="259"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变动额和相对变动率。</w:t>
      </w:r>
    </w:p>
    <w:p>
      <w:pPr>
        <w:spacing w:after="0" w:line="236" w:lineRule="exact"/>
        <w:rPr>
          <w:sz w:val="20"/>
          <w:szCs w:val="20"/>
          <w:color w:val="auto"/>
        </w:rPr>
      </w:pPr>
    </w:p>
    <w:p>
      <w:pPr>
        <w:ind w:left="1000"/>
        <w:spacing w:after="0" w:line="388" w:lineRule="exact"/>
        <w:rPr>
          <w:sz w:val="20"/>
          <w:szCs w:val="20"/>
          <w:color w:val="auto"/>
        </w:rPr>
      </w:pPr>
      <w:r>
        <w:rPr>
          <w:rFonts w:ascii="Arial" w:cs="Arial" w:eastAsia="Arial" w:hAnsi="Arial"/>
          <w:sz w:val="32"/>
          <w:szCs w:val="32"/>
          <w:color w:val="auto"/>
        </w:rPr>
        <w:t>2</w:t>
      </w:r>
      <w:r>
        <w:rPr>
          <w:rFonts w:ascii="宋体" w:cs="宋体" w:eastAsia="宋体" w:hAnsi="宋体"/>
          <w:sz w:val="32"/>
          <w:szCs w:val="32"/>
          <w:color w:val="auto"/>
        </w:rPr>
        <w:t>．分析评估结论与账面价值比较变动原因。</w:t>
      </w:r>
    </w:p>
    <w:p>
      <w:pPr>
        <w:spacing w:after="0" w:line="259" w:lineRule="exact"/>
        <w:rPr>
          <w:sz w:val="20"/>
          <w:szCs w:val="20"/>
          <w:color w:val="auto"/>
        </w:rPr>
      </w:pPr>
    </w:p>
    <w:p>
      <w:pPr>
        <w:ind w:left="1000"/>
        <w:spacing w:after="0" w:line="366" w:lineRule="exact"/>
        <w:rPr>
          <w:sz w:val="20"/>
          <w:szCs w:val="20"/>
          <w:color w:val="auto"/>
        </w:rPr>
      </w:pPr>
      <w:r>
        <w:rPr>
          <w:rFonts w:ascii="宋体" w:cs="宋体" w:eastAsia="宋体" w:hAnsi="宋体"/>
          <w:sz w:val="32"/>
          <w:szCs w:val="32"/>
          <w:color w:val="auto"/>
        </w:rPr>
        <w:t>（三）折价或者溢价情况（如有）</w:t>
      </w:r>
    </w:p>
    <w:p>
      <w:pPr>
        <w:spacing w:after="0" w:line="271" w:lineRule="exact"/>
        <w:rPr>
          <w:sz w:val="20"/>
          <w:szCs w:val="20"/>
          <w:color w:val="auto"/>
        </w:rPr>
      </w:pPr>
    </w:p>
    <w:p>
      <w:pPr>
        <w:ind w:left="1000"/>
        <w:spacing w:after="0" w:line="354" w:lineRule="exact"/>
        <w:rPr>
          <w:sz w:val="20"/>
          <w:szCs w:val="20"/>
          <w:color w:val="auto"/>
        </w:rPr>
      </w:pPr>
      <w:r>
        <w:rPr>
          <w:rFonts w:ascii="宋体" w:cs="宋体" w:eastAsia="宋体" w:hAnsi="宋体"/>
          <w:sz w:val="31"/>
          <w:szCs w:val="31"/>
          <w:color w:val="auto"/>
        </w:rPr>
        <w:t>企业价值评估，在适当及切实可行的情况下需要考虑由</w:t>
      </w:r>
    </w:p>
    <w:p>
      <w:pPr>
        <w:spacing w:after="0" w:line="270" w:lineRule="exact"/>
        <w:rPr>
          <w:sz w:val="20"/>
          <w:szCs w:val="20"/>
          <w:color w:val="auto"/>
        </w:rPr>
      </w:pPr>
    </w:p>
    <w:p>
      <w:pPr>
        <w:ind w:left="360"/>
        <w:spacing w:after="0" w:line="354" w:lineRule="exact"/>
        <w:rPr>
          <w:sz w:val="20"/>
          <w:szCs w:val="20"/>
          <w:color w:val="auto"/>
        </w:rPr>
      </w:pPr>
      <w:r>
        <w:rPr>
          <w:rFonts w:ascii="宋体" w:cs="宋体" w:eastAsia="宋体" w:hAnsi="宋体"/>
          <w:sz w:val="31"/>
          <w:szCs w:val="31"/>
          <w:color w:val="auto"/>
        </w:rPr>
        <w:t>于控股权和少数股权等因素产生的溢价或者折价，以及流动</w:t>
      </w:r>
    </w:p>
    <w:p>
      <w:pPr>
        <w:spacing w:after="0" w:line="259"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性对评估对象价值的影响，包括但不限于：</w:t>
      </w:r>
    </w:p>
    <w:p>
      <w:pPr>
        <w:spacing w:after="0" w:line="236" w:lineRule="exact"/>
        <w:rPr>
          <w:sz w:val="20"/>
          <w:szCs w:val="20"/>
          <w:color w:val="auto"/>
        </w:rPr>
      </w:pPr>
    </w:p>
    <w:p>
      <w:pPr>
        <w:ind w:left="1000"/>
        <w:spacing w:after="0" w:line="388" w:lineRule="exact"/>
        <w:rPr>
          <w:sz w:val="20"/>
          <w:szCs w:val="20"/>
          <w:color w:val="auto"/>
        </w:rPr>
      </w:pPr>
      <w:r>
        <w:rPr>
          <w:rFonts w:ascii="Arial" w:cs="Arial" w:eastAsia="Arial" w:hAnsi="Arial"/>
          <w:sz w:val="32"/>
          <w:szCs w:val="32"/>
          <w:color w:val="auto"/>
        </w:rPr>
        <w:t>1</w:t>
      </w:r>
      <w:r>
        <w:rPr>
          <w:rFonts w:ascii="宋体" w:cs="宋体" w:eastAsia="宋体" w:hAnsi="宋体"/>
          <w:sz w:val="32"/>
          <w:szCs w:val="32"/>
          <w:color w:val="auto"/>
        </w:rPr>
        <w:t>．说明是否考虑了折价与溢价。</w:t>
      </w:r>
    </w:p>
    <w:p>
      <w:pPr>
        <w:spacing w:after="0" w:line="236" w:lineRule="exact"/>
        <w:rPr>
          <w:sz w:val="20"/>
          <w:szCs w:val="20"/>
          <w:color w:val="auto"/>
        </w:rPr>
      </w:pPr>
    </w:p>
    <w:p>
      <w:pPr>
        <w:ind w:left="1000"/>
        <w:spacing w:after="0" w:line="388" w:lineRule="exact"/>
        <w:rPr>
          <w:sz w:val="20"/>
          <w:szCs w:val="20"/>
          <w:color w:val="auto"/>
        </w:rPr>
      </w:pPr>
      <w:r>
        <w:rPr>
          <w:rFonts w:ascii="Arial" w:cs="Arial" w:eastAsia="Arial" w:hAnsi="Arial"/>
          <w:sz w:val="32"/>
          <w:szCs w:val="32"/>
          <w:color w:val="auto"/>
        </w:rPr>
        <w:t>2</w:t>
      </w:r>
      <w:r>
        <w:rPr>
          <w:rFonts w:ascii="宋体" w:cs="宋体" w:eastAsia="宋体" w:hAnsi="宋体"/>
          <w:sz w:val="32"/>
          <w:szCs w:val="32"/>
          <w:color w:val="auto"/>
        </w:rPr>
        <w:t>．说明折价或者溢价测算的方法，对其合理性做出判</w:t>
      </w:r>
    </w:p>
    <w:p>
      <w:pPr>
        <w:spacing w:after="0" w:line="259" w:lineRule="exact"/>
        <w:rPr>
          <w:sz w:val="20"/>
          <w:szCs w:val="20"/>
          <w:color w:val="auto"/>
        </w:rPr>
      </w:pPr>
    </w:p>
    <w:p>
      <w:pPr>
        <w:ind w:left="360"/>
        <w:spacing w:after="0" w:line="366" w:lineRule="exact"/>
        <w:rPr>
          <w:sz w:val="20"/>
          <w:szCs w:val="20"/>
          <w:color w:val="auto"/>
        </w:rPr>
      </w:pPr>
      <w:r>
        <w:rPr>
          <w:rFonts w:ascii="宋体" w:cs="宋体" w:eastAsia="宋体" w:hAnsi="宋体"/>
          <w:sz w:val="32"/>
          <w:szCs w:val="32"/>
          <w:color w:val="auto"/>
        </w:rPr>
        <w:t>断。</w:t>
      </w:r>
    </w:p>
    <w:sectPr>
      <w:pgSz w:w="11900" w:h="16838" w:orient="portrait"/>
      <w:cols w:equalWidth="0" w:num="1">
        <w:col w:w="9026"/>
      </w:cols>
      <w:pgMar w:left="1440" w:top="1440" w:right="1440" w:bottom="1440" w:gutter="0" w:footer="0" w:header="0"/>
    </w:sectPr>
  </w:body>
</w:document>
</file>

<file path=word/fontTable.xml><?xml version="1.0" encoding="utf-8"?>
<w:font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宋体">
    <w:panose1 w:val="02010600030101010101"/>
    <w:charset w:val="86"/>
    <w:family w:val="auto"/>
    <w:pitch w:val="variable"/>
    <w:sig w:usb0="00000003" w:usb1="288F0000" w:usb2="00000006" w:usb3="00000000" w:csb0="00040001" w:csb1="00000000"/>
  </w:font>
  <w:font w:name="Arial">
    <w:panose1 w:val="020B0604020202020204"/>
    <w:charset w:val="00"/>
    <w:family w:val="swiss"/>
    <w:pitch w:val="variable"/>
    <w:sig w:usb0="E0002EFF" w:usb1="C0007843" w:usb2="00000009" w:usb3="00000000" w:csb0="400001FF" w:csb1="FFFF0000"/>
  </w:font>
  <w:font w:name="黑体">
    <w:panose1 w:val="02010609060101010101"/>
    <w:charset w:val="86"/>
    <w:family w:val="modern"/>
    <w:pitch w:val="fixed"/>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eastAsiaTheme="minorEastAsia"/>
        <w:sz w:val="22"/>
        <w:szCs w:val="22"/>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Layout w:type="fixed"/>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2017-09-14T08:49:17Z</dcterms:created>
  <dcterms:modified xsi:type="dcterms:W3CDTF">2017-09-14T08:49:17Z</dcterms:modified>
</cp:coreProperties>
</file>