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366"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auto"/>
        </w:rPr>
        <w:t>附件</w:t>
      </w:r>
    </w:p>
    <w:p>
      <w:pPr>
        <w:spacing w:after="0" w:line="200" w:lineRule="exact"/>
        <w:rPr>
          <w:sz w:val="24"/>
          <w:szCs w:val="24"/>
          <w:color w:val="auto"/>
        </w:rPr>
      </w:pPr>
    </w:p>
    <w:p>
      <w:pPr>
        <w:spacing w:after="0" w:line="200" w:lineRule="exact"/>
        <w:rPr>
          <w:sz w:val="24"/>
          <w:szCs w:val="24"/>
          <w:color w:val="auto"/>
        </w:rPr>
      </w:pPr>
    </w:p>
    <w:p>
      <w:pPr>
        <w:spacing w:after="0" w:line="245" w:lineRule="exact"/>
        <w:rPr>
          <w:sz w:val="24"/>
          <w:szCs w:val="24"/>
          <w:color w:val="auto"/>
        </w:rPr>
      </w:pPr>
    </w:p>
    <w:p>
      <w:pPr>
        <w:jc w:val="center"/>
        <w:ind w:right="-99"/>
        <w:spacing w:after="0" w:line="502" w:lineRule="exact"/>
        <w:rPr>
          <w:sz w:val="20"/>
          <w:szCs w:val="20"/>
          <w:color w:val="auto"/>
        </w:rPr>
      </w:pPr>
      <w:r>
        <w:rPr>
          <w:rFonts w:ascii="宋体" w:cs="宋体" w:eastAsia="宋体" w:hAnsi="宋体"/>
          <w:sz w:val="44"/>
          <w:szCs w:val="44"/>
          <w:b w:val="1"/>
          <w:bCs w:val="1"/>
          <w:color w:val="auto"/>
        </w:rPr>
        <w:t>企业国有资产评估报告指南</w:t>
      </w:r>
    </w:p>
    <w:p>
      <w:pPr>
        <w:spacing w:after="0" w:line="200" w:lineRule="exact"/>
        <w:rPr>
          <w:sz w:val="24"/>
          <w:szCs w:val="24"/>
          <w:color w:val="auto"/>
        </w:rPr>
      </w:pPr>
    </w:p>
    <w:p>
      <w:pPr>
        <w:spacing w:after="0" w:line="200" w:lineRule="exact"/>
        <w:rPr>
          <w:sz w:val="24"/>
          <w:szCs w:val="24"/>
          <w:color w:val="auto"/>
        </w:rPr>
      </w:pPr>
    </w:p>
    <w:p>
      <w:pPr>
        <w:spacing w:after="0" w:line="272" w:lineRule="exact"/>
        <w:rPr>
          <w:sz w:val="24"/>
          <w:szCs w:val="24"/>
          <w:color w:val="auto"/>
        </w:rPr>
      </w:pPr>
    </w:p>
    <w:p>
      <w:pPr>
        <w:jc w:val="center"/>
        <w:ind w:left="3500"/>
        <w:spacing w:after="0" w:line="366" w:lineRule="exact"/>
        <w:tabs>
          <w:tab w:leader="none" w:pos="300" w:val="left"/>
        </w:tabs>
        <w:rPr>
          <w:sz w:val="20"/>
          <w:szCs w:val="20"/>
          <w:color w:val="auto"/>
        </w:rPr>
      </w:pPr>
      <w:r>
        <w:rPr>
          <w:rFonts w:ascii="宋体" w:cs="宋体" w:eastAsia="宋体" w:hAnsi="宋体"/>
          <w:sz w:val="32"/>
          <w:szCs w:val="32"/>
          <w:color w:val="auto"/>
        </w:rPr>
        <w:t>第一章</w:t>
        <w:tab/>
        <w:t>总则</w:t>
      </w:r>
    </w:p>
    <w:p>
      <w:pPr>
        <w:spacing w:after="0" w:line="200" w:lineRule="exact"/>
        <w:rPr>
          <w:sz w:val="24"/>
          <w:szCs w:val="24"/>
          <w:color w:val="auto"/>
        </w:rPr>
      </w:pPr>
    </w:p>
    <w:p>
      <w:pPr>
        <w:spacing w:after="0" w:line="215" w:lineRule="exact"/>
        <w:rPr>
          <w:sz w:val="24"/>
          <w:szCs w:val="24"/>
          <w:color w:val="auto"/>
        </w:rPr>
      </w:pPr>
    </w:p>
    <w:p>
      <w:pPr>
        <w:ind w:left="900"/>
        <w:spacing w:after="0" w:line="366" w:lineRule="exact"/>
        <w:tabs>
          <w:tab w:leader="none" w:pos="2160" w:val="left"/>
        </w:tabs>
        <w:rPr>
          <w:sz w:val="20"/>
          <w:szCs w:val="20"/>
          <w:color w:val="auto"/>
        </w:rPr>
      </w:pPr>
      <w:r>
        <w:rPr>
          <w:rFonts w:ascii="宋体" w:cs="宋体" w:eastAsia="宋体" w:hAnsi="宋体"/>
          <w:sz w:val="32"/>
          <w:szCs w:val="32"/>
          <w:b w:val="1"/>
          <w:bCs w:val="1"/>
          <w:color w:val="auto"/>
        </w:rPr>
        <w:t>第一条</w:t>
      </w:r>
      <w:r>
        <w:rPr>
          <w:sz w:val="20"/>
          <w:szCs w:val="20"/>
          <w:color w:val="auto"/>
        </w:rPr>
        <w:tab/>
      </w:r>
      <w:r>
        <w:rPr>
          <w:rFonts w:ascii="宋体" w:cs="宋体" w:eastAsia="宋体" w:hAnsi="宋体"/>
          <w:sz w:val="32"/>
          <w:szCs w:val="32"/>
          <w:color w:val="auto"/>
        </w:rPr>
        <w:t>为规范企业国有资产评估报告编制和出具行为，</w:t>
      </w:r>
    </w:p>
    <w:p>
      <w:pPr>
        <w:spacing w:after="0" w:line="260"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auto"/>
        </w:rPr>
        <w:t>保护资产评估当事人合法权益和公共利益，根据国有资产评估</w:t>
      </w:r>
    </w:p>
    <w:p>
      <w:pPr>
        <w:spacing w:after="0" w:line="236" w:lineRule="exact"/>
        <w:rPr>
          <w:sz w:val="24"/>
          <w:szCs w:val="24"/>
          <w:color w:val="auto"/>
        </w:rPr>
      </w:pPr>
    </w:p>
    <w:p>
      <w:pPr>
        <w:ind w:left="260"/>
        <w:spacing w:after="0" w:line="388" w:lineRule="exact"/>
        <w:rPr>
          <w:sz w:val="20"/>
          <w:szCs w:val="20"/>
          <w:color w:val="auto"/>
        </w:rPr>
      </w:pPr>
      <w:r>
        <w:rPr>
          <w:rFonts w:ascii="宋体" w:cs="宋体" w:eastAsia="宋体" w:hAnsi="宋体"/>
          <w:sz w:val="32"/>
          <w:szCs w:val="32"/>
          <w:color w:val="auto"/>
        </w:rPr>
        <w:t>管理有关规定和《资产评估执业准则</w:t>
      </w:r>
      <w:r>
        <w:rPr>
          <w:rFonts w:ascii="Arial" w:cs="Arial" w:eastAsia="Arial" w:hAnsi="Arial"/>
          <w:sz w:val="32"/>
          <w:szCs w:val="32"/>
          <w:color w:val="auto"/>
        </w:rPr>
        <w:t>——</w:t>
      </w:r>
      <w:r>
        <w:rPr>
          <w:rFonts w:ascii="宋体" w:cs="宋体" w:eastAsia="宋体" w:hAnsi="宋体"/>
          <w:sz w:val="32"/>
          <w:szCs w:val="32"/>
          <w:color w:val="auto"/>
        </w:rPr>
        <w:t>资产评估报告》制定</w:t>
      </w:r>
    </w:p>
    <w:p>
      <w:pPr>
        <w:spacing w:after="0" w:line="259"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auto"/>
        </w:rPr>
        <w:t>本指南。</w:t>
      </w:r>
    </w:p>
    <w:p>
      <w:pPr>
        <w:spacing w:after="0" w:line="259" w:lineRule="exact"/>
        <w:rPr>
          <w:sz w:val="24"/>
          <w:szCs w:val="24"/>
          <w:color w:val="auto"/>
        </w:rPr>
      </w:pPr>
    </w:p>
    <w:p>
      <w:pPr>
        <w:ind w:left="900"/>
        <w:spacing w:after="0" w:line="366" w:lineRule="exact"/>
        <w:tabs>
          <w:tab w:leader="none" w:pos="2160" w:val="left"/>
        </w:tabs>
        <w:rPr>
          <w:sz w:val="20"/>
          <w:szCs w:val="20"/>
          <w:color w:val="auto"/>
        </w:rPr>
      </w:pPr>
      <w:r>
        <w:rPr>
          <w:rFonts w:ascii="宋体" w:cs="宋体" w:eastAsia="宋体" w:hAnsi="宋体"/>
          <w:sz w:val="32"/>
          <w:szCs w:val="32"/>
          <w:b w:val="1"/>
          <w:bCs w:val="1"/>
          <w:color w:val="auto"/>
        </w:rPr>
        <w:t>第二条</w:t>
      </w:r>
      <w:r>
        <w:rPr>
          <w:sz w:val="20"/>
          <w:szCs w:val="20"/>
          <w:color w:val="auto"/>
        </w:rPr>
        <w:tab/>
      </w:r>
      <w:r>
        <w:rPr>
          <w:rFonts w:ascii="宋体" w:cs="宋体" w:eastAsia="宋体" w:hAnsi="宋体"/>
          <w:sz w:val="32"/>
          <w:szCs w:val="32"/>
          <w:color w:val="auto"/>
        </w:rPr>
        <w:t>资产评估机构及其资产评估师根据企业国有资产</w:t>
      </w:r>
    </w:p>
    <w:p>
      <w:pPr>
        <w:spacing w:after="0" w:line="259"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auto"/>
        </w:rPr>
        <w:t>评估管理的有关规定开展资产评估业务，编制和出具企业国有</w:t>
      </w:r>
    </w:p>
    <w:p>
      <w:pPr>
        <w:spacing w:after="0" w:line="259"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auto"/>
        </w:rPr>
        <w:t>资产评估报告，应当遵守本指南。</w:t>
      </w:r>
    </w:p>
    <w:p>
      <w:pPr>
        <w:spacing w:after="0" w:line="259" w:lineRule="exact"/>
        <w:rPr>
          <w:sz w:val="24"/>
          <w:szCs w:val="24"/>
          <w:color w:val="auto"/>
        </w:rPr>
      </w:pPr>
    </w:p>
    <w:p>
      <w:pPr>
        <w:ind w:left="900"/>
        <w:spacing w:after="0" w:line="366" w:lineRule="exact"/>
        <w:rPr>
          <w:sz w:val="20"/>
          <w:szCs w:val="20"/>
          <w:color w:val="auto"/>
        </w:rPr>
      </w:pPr>
      <w:r>
        <w:rPr>
          <w:rFonts w:ascii="宋体" w:cs="宋体" w:eastAsia="宋体" w:hAnsi="宋体"/>
          <w:sz w:val="32"/>
          <w:szCs w:val="32"/>
          <w:color w:val="auto"/>
        </w:rPr>
        <w:t>金融企业和行政事业单位国有资产评估报告另行规范。</w:t>
      </w:r>
    </w:p>
    <w:p>
      <w:pPr>
        <w:spacing w:after="0" w:line="259" w:lineRule="exact"/>
        <w:rPr>
          <w:sz w:val="24"/>
          <w:szCs w:val="24"/>
          <w:color w:val="auto"/>
        </w:rPr>
      </w:pPr>
    </w:p>
    <w:p>
      <w:pPr>
        <w:ind w:left="900"/>
        <w:spacing w:after="0" w:line="366" w:lineRule="exact"/>
        <w:tabs>
          <w:tab w:leader="none" w:pos="2160" w:val="left"/>
        </w:tabs>
        <w:rPr>
          <w:sz w:val="20"/>
          <w:szCs w:val="20"/>
          <w:color w:val="auto"/>
        </w:rPr>
      </w:pPr>
      <w:r>
        <w:rPr>
          <w:rFonts w:ascii="宋体" w:cs="宋体" w:eastAsia="宋体" w:hAnsi="宋体"/>
          <w:sz w:val="32"/>
          <w:szCs w:val="32"/>
          <w:b w:val="1"/>
          <w:bCs w:val="1"/>
          <w:color w:val="auto"/>
        </w:rPr>
        <w:t>第三条</w:t>
      </w:r>
      <w:r>
        <w:rPr>
          <w:sz w:val="20"/>
          <w:szCs w:val="20"/>
          <w:color w:val="auto"/>
        </w:rPr>
        <w:tab/>
      </w:r>
      <w:r>
        <w:rPr>
          <w:rFonts w:ascii="宋体" w:cs="宋体" w:eastAsia="宋体" w:hAnsi="宋体"/>
          <w:sz w:val="32"/>
          <w:szCs w:val="32"/>
          <w:color w:val="auto"/>
        </w:rPr>
        <w:t>本指南所指企业国有资产评估报告（以下简称资</w:t>
      </w:r>
    </w:p>
    <w:p>
      <w:pPr>
        <w:spacing w:after="0" w:line="282" w:lineRule="exact"/>
        <w:rPr>
          <w:sz w:val="24"/>
          <w:szCs w:val="24"/>
          <w:color w:val="auto"/>
        </w:rPr>
      </w:pPr>
    </w:p>
    <w:p>
      <w:pPr>
        <w:ind w:left="260"/>
        <w:spacing w:after="0" w:line="343" w:lineRule="exact"/>
        <w:rPr>
          <w:sz w:val="20"/>
          <w:szCs w:val="20"/>
          <w:color w:val="auto"/>
        </w:rPr>
      </w:pPr>
      <w:r>
        <w:rPr>
          <w:rFonts w:ascii="宋体" w:cs="宋体" w:eastAsia="宋体" w:hAnsi="宋体"/>
          <w:sz w:val="30"/>
          <w:szCs w:val="30"/>
          <w:color w:val="auto"/>
        </w:rPr>
        <w:t>产评估报告），由标题及文号、目录、声明、摘要、正文、附件、</w:t>
      </w:r>
    </w:p>
    <w:p>
      <w:pPr>
        <w:spacing w:after="0" w:line="259"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auto"/>
        </w:rPr>
        <w:t>评估明细表和评估说明构成。</w:t>
      </w:r>
    </w:p>
    <w:p>
      <w:pPr>
        <w:spacing w:after="0" w:line="259" w:lineRule="exact"/>
        <w:rPr>
          <w:sz w:val="24"/>
          <w:szCs w:val="24"/>
          <w:color w:val="auto"/>
        </w:rPr>
      </w:pPr>
    </w:p>
    <w:p>
      <w:pPr>
        <w:ind w:left="900"/>
        <w:spacing w:after="0" w:line="366" w:lineRule="exact"/>
        <w:tabs>
          <w:tab w:leader="none" w:pos="2160" w:val="left"/>
        </w:tabs>
        <w:rPr>
          <w:sz w:val="20"/>
          <w:szCs w:val="20"/>
          <w:color w:val="auto"/>
        </w:rPr>
      </w:pPr>
      <w:r>
        <w:rPr>
          <w:rFonts w:ascii="宋体" w:cs="宋体" w:eastAsia="宋体" w:hAnsi="宋体"/>
          <w:sz w:val="32"/>
          <w:szCs w:val="32"/>
          <w:b w:val="1"/>
          <w:bCs w:val="1"/>
          <w:color w:val="auto"/>
        </w:rPr>
        <w:t>第四条</w:t>
      </w:r>
      <w:r>
        <w:rPr>
          <w:sz w:val="20"/>
          <w:szCs w:val="20"/>
          <w:color w:val="auto"/>
        </w:rPr>
        <w:tab/>
      </w:r>
      <w:r>
        <w:rPr>
          <w:rFonts w:ascii="宋体" w:cs="宋体" w:eastAsia="宋体" w:hAnsi="宋体"/>
          <w:sz w:val="32"/>
          <w:szCs w:val="32"/>
          <w:color w:val="auto"/>
        </w:rPr>
        <w:t>资产评估机构及其资产评估师应当清晰、准确陈</w:t>
      </w:r>
    </w:p>
    <w:p>
      <w:pPr>
        <w:spacing w:after="0" w:line="259"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auto"/>
        </w:rPr>
        <w:t>述资产评估报告内容，不得使用误导性的表述。</w:t>
      </w:r>
    </w:p>
    <w:p>
      <w:pPr>
        <w:spacing w:after="0" w:line="260" w:lineRule="exact"/>
        <w:rPr>
          <w:sz w:val="24"/>
          <w:szCs w:val="24"/>
          <w:color w:val="auto"/>
        </w:rPr>
      </w:pPr>
    </w:p>
    <w:p>
      <w:pPr>
        <w:ind w:left="900"/>
        <w:spacing w:after="0" w:line="366" w:lineRule="exact"/>
        <w:tabs>
          <w:tab w:leader="none" w:pos="2160" w:val="left"/>
        </w:tabs>
        <w:rPr>
          <w:sz w:val="20"/>
          <w:szCs w:val="20"/>
          <w:color w:val="auto"/>
        </w:rPr>
      </w:pPr>
      <w:r>
        <w:rPr>
          <w:rFonts w:ascii="宋体" w:cs="宋体" w:eastAsia="宋体" w:hAnsi="宋体"/>
          <w:sz w:val="32"/>
          <w:szCs w:val="32"/>
          <w:b w:val="1"/>
          <w:bCs w:val="1"/>
          <w:color w:val="auto"/>
        </w:rPr>
        <w:t>第五条</w:t>
      </w:r>
      <w:r>
        <w:rPr>
          <w:sz w:val="20"/>
          <w:szCs w:val="20"/>
          <w:color w:val="auto"/>
        </w:rPr>
        <w:tab/>
      </w:r>
      <w:r>
        <w:rPr>
          <w:rFonts w:ascii="宋体" w:cs="宋体" w:eastAsia="宋体" w:hAnsi="宋体"/>
          <w:sz w:val="32"/>
          <w:szCs w:val="32"/>
          <w:color w:val="auto"/>
        </w:rPr>
        <w:t>资产评估报告提供的信息，应当使企业国有资产</w:t>
      </w:r>
    </w:p>
    <w:p>
      <w:pPr>
        <w:spacing w:after="0" w:line="259"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auto"/>
        </w:rPr>
        <w:t>监督管理机构和相关机构能够全面了解资产评估情况，使资产</w:t>
      </w:r>
    </w:p>
    <w:p>
      <w:pPr>
        <w:spacing w:after="0" w:line="259" w:lineRule="exact"/>
        <w:rPr>
          <w:sz w:val="24"/>
          <w:szCs w:val="24"/>
          <w:color w:val="auto"/>
        </w:rPr>
      </w:pPr>
    </w:p>
    <w:p>
      <w:pPr>
        <w:ind w:left="260"/>
        <w:spacing w:after="0" w:line="366" w:lineRule="exact"/>
        <w:rPr>
          <w:sz w:val="20"/>
          <w:szCs w:val="20"/>
          <w:color w:val="auto"/>
        </w:rPr>
      </w:pPr>
      <w:r>
        <w:rPr>
          <w:rFonts w:ascii="宋体" w:cs="宋体" w:eastAsia="宋体" w:hAnsi="宋体"/>
          <w:sz w:val="32"/>
          <w:szCs w:val="32"/>
          <w:color w:val="auto"/>
        </w:rPr>
        <w:t>评估报告使用人正确理解评估结论。</w:t>
      </w:r>
    </w:p>
    <w:p>
      <w:pPr>
        <w:spacing w:after="0" w:line="270" w:lineRule="exact"/>
        <w:rPr>
          <w:sz w:val="24"/>
          <w:szCs w:val="24"/>
          <w:color w:val="auto"/>
        </w:rPr>
      </w:pPr>
    </w:p>
    <w:p>
      <w:pPr>
        <w:ind w:left="900"/>
        <w:spacing w:after="0" w:line="354" w:lineRule="exact"/>
        <w:tabs>
          <w:tab w:leader="none" w:pos="2160" w:val="left"/>
        </w:tabs>
        <w:rPr>
          <w:sz w:val="20"/>
          <w:szCs w:val="20"/>
          <w:color w:val="auto"/>
        </w:rPr>
      </w:pPr>
      <w:r>
        <w:rPr>
          <w:rFonts w:ascii="宋体" w:cs="宋体" w:eastAsia="宋体" w:hAnsi="宋体"/>
          <w:sz w:val="31"/>
          <w:szCs w:val="31"/>
          <w:b w:val="1"/>
          <w:bCs w:val="1"/>
          <w:color w:val="auto"/>
        </w:rPr>
        <w:t>第六条</w:t>
      </w:r>
      <w:r>
        <w:rPr>
          <w:sz w:val="20"/>
          <w:szCs w:val="20"/>
          <w:color w:val="auto"/>
        </w:rPr>
        <w:tab/>
      </w:r>
      <w:r>
        <w:rPr>
          <w:rFonts w:ascii="宋体" w:cs="宋体" w:eastAsia="宋体" w:hAnsi="宋体"/>
          <w:sz w:val="31"/>
          <w:szCs w:val="31"/>
          <w:color w:val="auto"/>
        </w:rPr>
        <w:t>资产评估报告内容应当完整，符合本指南的要求。</w:t>
      </w:r>
    </w:p>
    <w:p>
      <w:pPr>
        <w:sectPr>
          <w:pgSz w:w="11900" w:h="16838" w:orient="portrait"/>
          <w:cols w:equalWidth="0" w:num="1">
            <w:col w:w="9060"/>
          </w:cols>
          <w:pgMar w:left="1440" w:top="1440" w:right="1406" w:bottom="1154" w:gutter="0" w:footer="0" w:header="0"/>
        </w:sectPr>
      </w:pPr>
    </w:p>
    <w:bookmarkStart w:id="1" w:name="page2"/>
    <w:bookmarkEnd w:id="1"/>
    <w:p>
      <w:pPr>
        <w:spacing w:after="0" w:line="366" w:lineRule="exact"/>
        <w:rPr>
          <w:sz w:val="20"/>
          <w:szCs w:val="20"/>
          <w:color w:val="auto"/>
        </w:rPr>
      </w:pPr>
    </w:p>
    <w:p>
      <w:pPr>
        <w:jc w:val="center"/>
        <w:ind w:right="-119"/>
        <w:spacing w:after="0" w:line="366" w:lineRule="exact"/>
        <w:tabs>
          <w:tab w:leader="none" w:pos="280" w:val="left"/>
        </w:tabs>
        <w:rPr>
          <w:sz w:val="20"/>
          <w:szCs w:val="20"/>
          <w:color w:val="auto"/>
        </w:rPr>
      </w:pPr>
      <w:r>
        <w:rPr>
          <w:rFonts w:ascii="宋体" w:cs="宋体" w:eastAsia="宋体" w:hAnsi="宋体"/>
          <w:sz w:val="32"/>
          <w:szCs w:val="32"/>
          <w:color w:val="auto"/>
        </w:rPr>
        <w:t>第二章</w:t>
      </w:r>
      <w:r>
        <w:rPr>
          <w:sz w:val="20"/>
          <w:szCs w:val="20"/>
          <w:color w:val="auto"/>
        </w:rPr>
        <w:tab/>
      </w:r>
      <w:r>
        <w:rPr>
          <w:rFonts w:ascii="宋体" w:cs="宋体" w:eastAsia="宋体" w:hAnsi="宋体"/>
          <w:sz w:val="31"/>
          <w:szCs w:val="31"/>
          <w:color w:val="auto"/>
        </w:rPr>
        <w:t>标题及文号、目录、声明和摘要</w:t>
      </w:r>
    </w:p>
    <w:p>
      <w:pPr>
        <w:spacing w:after="0" w:line="392" w:lineRule="exact"/>
        <w:rPr>
          <w:sz w:val="20"/>
          <w:szCs w:val="20"/>
          <w:color w:val="auto"/>
        </w:rPr>
      </w:pPr>
    </w:p>
    <w:p>
      <w:pPr>
        <w:ind w:left="900"/>
        <w:spacing w:after="0" w:line="388" w:lineRule="exact"/>
        <w:tabs>
          <w:tab w:leader="none" w:pos="2160" w:val="left"/>
        </w:tabs>
        <w:rPr>
          <w:sz w:val="20"/>
          <w:szCs w:val="20"/>
          <w:color w:val="auto"/>
        </w:rPr>
      </w:pPr>
      <w:r>
        <w:rPr>
          <w:rFonts w:ascii="宋体" w:cs="宋体" w:eastAsia="宋体" w:hAnsi="宋体"/>
          <w:sz w:val="32"/>
          <w:szCs w:val="32"/>
          <w:b w:val="1"/>
          <w:bCs w:val="1"/>
          <w:color w:val="auto"/>
        </w:rPr>
        <w:t>第七条</w:t>
      </w:r>
      <w:r>
        <w:rPr>
          <w:sz w:val="20"/>
          <w:szCs w:val="20"/>
          <w:color w:val="auto"/>
        </w:rPr>
        <w:tab/>
      </w:r>
      <w:r>
        <w:rPr>
          <w:rFonts w:ascii="宋体" w:cs="宋体" w:eastAsia="宋体" w:hAnsi="宋体"/>
          <w:sz w:val="32"/>
          <w:szCs w:val="32"/>
          <w:color w:val="auto"/>
        </w:rPr>
        <w:t>资产评估报告标题应当简明清晰，一般采用</w:t>
      </w:r>
      <w:r>
        <w:rPr>
          <w:rFonts w:ascii="Arial" w:cs="Arial" w:eastAsia="Arial" w:hAnsi="Arial"/>
          <w:sz w:val="32"/>
          <w:szCs w:val="32"/>
          <w:color w:val="auto"/>
        </w:rPr>
        <w:t>“</w:t>
      </w:r>
      <w:r>
        <w:rPr>
          <w:rFonts w:ascii="宋体" w:cs="宋体" w:eastAsia="宋体" w:hAnsi="宋体"/>
          <w:sz w:val="32"/>
          <w:szCs w:val="32"/>
          <w:color w:val="auto"/>
        </w:rPr>
        <w:t>企</w:t>
      </w:r>
    </w:p>
    <w:p>
      <w:pPr>
        <w:spacing w:after="0" w:line="236"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业名称</w:t>
      </w:r>
      <w:r>
        <w:rPr>
          <w:rFonts w:ascii="Arial" w:cs="Arial" w:eastAsia="Arial" w:hAnsi="Arial"/>
          <w:sz w:val="32"/>
          <w:szCs w:val="32"/>
          <w:color w:val="auto"/>
        </w:rPr>
        <w:t>+</w:t>
      </w:r>
      <w:r>
        <w:rPr>
          <w:rFonts w:ascii="宋体" w:cs="宋体" w:eastAsia="宋体" w:hAnsi="宋体"/>
          <w:sz w:val="32"/>
          <w:szCs w:val="32"/>
          <w:color w:val="auto"/>
        </w:rPr>
        <w:t>经济行为关键词</w:t>
      </w:r>
      <w:r>
        <w:rPr>
          <w:rFonts w:ascii="Arial" w:cs="Arial" w:eastAsia="Arial" w:hAnsi="Arial"/>
          <w:sz w:val="32"/>
          <w:szCs w:val="32"/>
          <w:color w:val="auto"/>
        </w:rPr>
        <w:t>+</w:t>
      </w:r>
      <w:r>
        <w:rPr>
          <w:rFonts w:ascii="宋体" w:cs="宋体" w:eastAsia="宋体" w:hAnsi="宋体"/>
          <w:sz w:val="32"/>
          <w:szCs w:val="32"/>
          <w:color w:val="auto"/>
        </w:rPr>
        <w:t>评估对象</w:t>
      </w:r>
      <w:r>
        <w:rPr>
          <w:rFonts w:ascii="Arial" w:cs="Arial" w:eastAsia="Arial" w:hAnsi="Arial"/>
          <w:sz w:val="32"/>
          <w:szCs w:val="32"/>
          <w:color w:val="auto"/>
        </w:rPr>
        <w:t>+</w:t>
      </w:r>
      <w:r>
        <w:rPr>
          <w:rFonts w:ascii="宋体" w:cs="宋体" w:eastAsia="宋体" w:hAnsi="宋体"/>
          <w:sz w:val="32"/>
          <w:szCs w:val="32"/>
          <w:color w:val="auto"/>
        </w:rPr>
        <w:t>资产评估报告</w:t>
      </w:r>
      <w:r>
        <w:rPr>
          <w:rFonts w:ascii="Arial" w:cs="Arial" w:eastAsia="Arial" w:hAnsi="Arial"/>
          <w:sz w:val="32"/>
          <w:szCs w:val="32"/>
          <w:color w:val="auto"/>
        </w:rPr>
        <w:t>”</w:t>
      </w:r>
      <w:r>
        <w:rPr>
          <w:rFonts w:ascii="宋体" w:cs="宋体" w:eastAsia="宋体" w:hAnsi="宋体"/>
          <w:sz w:val="32"/>
          <w:szCs w:val="32"/>
          <w:color w:val="auto"/>
        </w:rPr>
        <w:t>的形式。</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资产评估报告文号包括资产评估机构特征字、种类特征字、</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年份、报告序号。</w:t>
      </w:r>
    </w:p>
    <w:p>
      <w:pPr>
        <w:spacing w:after="0" w:line="259" w:lineRule="exact"/>
        <w:rPr>
          <w:sz w:val="20"/>
          <w:szCs w:val="20"/>
          <w:color w:val="auto"/>
        </w:rPr>
      </w:pPr>
    </w:p>
    <w:p>
      <w:pPr>
        <w:ind w:left="900"/>
        <w:spacing w:after="0" w:line="366" w:lineRule="exact"/>
        <w:tabs>
          <w:tab w:leader="none" w:pos="2160" w:val="left"/>
        </w:tabs>
        <w:rPr>
          <w:sz w:val="20"/>
          <w:szCs w:val="20"/>
          <w:color w:val="auto"/>
        </w:rPr>
      </w:pPr>
      <w:r>
        <w:rPr>
          <w:rFonts w:ascii="宋体" w:cs="宋体" w:eastAsia="宋体" w:hAnsi="宋体"/>
          <w:sz w:val="32"/>
          <w:szCs w:val="32"/>
          <w:b w:val="1"/>
          <w:bCs w:val="1"/>
          <w:color w:val="auto"/>
        </w:rPr>
        <w:t>第八条</w:t>
      </w:r>
      <w:r>
        <w:rPr>
          <w:sz w:val="20"/>
          <w:szCs w:val="20"/>
          <w:color w:val="auto"/>
        </w:rPr>
        <w:tab/>
      </w:r>
      <w:r>
        <w:rPr>
          <w:rFonts w:ascii="宋体" w:cs="宋体" w:eastAsia="宋体" w:hAnsi="宋体"/>
          <w:sz w:val="32"/>
          <w:szCs w:val="32"/>
          <w:color w:val="auto"/>
        </w:rPr>
        <w:t>目录应当包括每一部分的标题和相应页码。</w:t>
      </w:r>
    </w:p>
    <w:p>
      <w:pPr>
        <w:spacing w:after="0" w:line="260" w:lineRule="exact"/>
        <w:rPr>
          <w:sz w:val="20"/>
          <w:szCs w:val="20"/>
          <w:color w:val="auto"/>
        </w:rPr>
      </w:pPr>
    </w:p>
    <w:p>
      <w:pPr>
        <w:ind w:left="900"/>
        <w:spacing w:after="0" w:line="366" w:lineRule="exact"/>
        <w:tabs>
          <w:tab w:leader="none" w:pos="2160" w:val="left"/>
        </w:tabs>
        <w:rPr>
          <w:sz w:val="20"/>
          <w:szCs w:val="20"/>
          <w:color w:val="auto"/>
        </w:rPr>
      </w:pPr>
      <w:r>
        <w:rPr>
          <w:rFonts w:ascii="宋体" w:cs="宋体" w:eastAsia="宋体" w:hAnsi="宋体"/>
          <w:sz w:val="32"/>
          <w:szCs w:val="32"/>
          <w:b w:val="1"/>
          <w:bCs w:val="1"/>
          <w:color w:val="auto"/>
        </w:rPr>
        <w:t>第九条</w:t>
      </w:r>
      <w:r>
        <w:rPr>
          <w:sz w:val="20"/>
          <w:szCs w:val="20"/>
          <w:color w:val="auto"/>
        </w:rPr>
        <w:tab/>
      </w:r>
      <w:r>
        <w:rPr>
          <w:rFonts w:ascii="宋体" w:cs="宋体" w:eastAsia="宋体" w:hAnsi="宋体"/>
          <w:sz w:val="32"/>
          <w:szCs w:val="32"/>
          <w:color w:val="auto"/>
        </w:rPr>
        <w:t>资产评估报告声明通常包括以下内容：</w:t>
      </w:r>
    </w:p>
    <w:p>
      <w:pPr>
        <w:spacing w:after="0" w:line="307" w:lineRule="exact"/>
        <w:rPr>
          <w:sz w:val="20"/>
          <w:szCs w:val="20"/>
          <w:color w:val="auto"/>
        </w:rPr>
      </w:pPr>
    </w:p>
    <w:p>
      <w:pPr>
        <w:jc w:val="both"/>
        <w:ind w:left="260" w:right="160" w:firstLine="641"/>
        <w:spacing w:after="0" w:line="522" w:lineRule="exact"/>
        <w:rPr>
          <w:sz w:val="20"/>
          <w:szCs w:val="20"/>
          <w:color w:val="auto"/>
        </w:rPr>
      </w:pPr>
      <w:r>
        <w:rPr>
          <w:rFonts w:ascii="宋体" w:cs="宋体" w:eastAsia="宋体" w:hAnsi="宋体"/>
          <w:sz w:val="32"/>
          <w:szCs w:val="32"/>
          <w:color w:val="auto"/>
        </w:rPr>
        <w:t>（一）本资产评估报告依据财政部发布的资产评估基本准则和中国资产评估协会发布的资产评估执业准则和职业道德准则编制。</w:t>
      </w:r>
    </w:p>
    <w:p>
      <w:pPr>
        <w:spacing w:after="0" w:line="307" w:lineRule="exact"/>
        <w:rPr>
          <w:sz w:val="20"/>
          <w:szCs w:val="20"/>
          <w:color w:val="auto"/>
        </w:rPr>
      </w:pPr>
    </w:p>
    <w:p>
      <w:pPr>
        <w:ind w:left="260" w:firstLine="641"/>
        <w:spacing w:after="0" w:line="547" w:lineRule="exact"/>
        <w:rPr>
          <w:sz w:val="20"/>
          <w:szCs w:val="20"/>
          <w:color w:val="auto"/>
        </w:rPr>
      </w:pPr>
      <w:r>
        <w:rPr>
          <w:rFonts w:ascii="宋体" w:cs="宋体" w:eastAsia="宋体" w:hAnsi="宋体"/>
          <w:sz w:val="31"/>
          <w:szCs w:val="31"/>
          <w:color w:val="auto"/>
        </w:rPr>
        <w:t>（二）委托人或者其他资产评估报告使用人应当按照法律、行政法规规定和资产评估报告载明的使用范围使用资产评估报告；委托人或者其他资产评估报告使用人违反前述规定使用资产评估报告的，资产评估机构及其资产评估师不承担责任。</w:t>
      </w:r>
    </w:p>
    <w:p>
      <w:pPr>
        <w:spacing w:after="0" w:line="310" w:lineRule="exact"/>
        <w:rPr>
          <w:sz w:val="20"/>
          <w:szCs w:val="20"/>
          <w:color w:val="auto"/>
        </w:rPr>
      </w:pPr>
    </w:p>
    <w:p>
      <w:pPr>
        <w:jc w:val="both"/>
        <w:ind w:left="260" w:right="160" w:firstLine="641"/>
        <w:spacing w:after="0" w:line="546" w:lineRule="exact"/>
        <w:rPr>
          <w:sz w:val="20"/>
          <w:szCs w:val="20"/>
          <w:color w:val="auto"/>
        </w:rPr>
      </w:pPr>
      <w:r>
        <w:rPr>
          <w:rFonts w:ascii="宋体" w:cs="宋体" w:eastAsia="宋体" w:hAnsi="宋体"/>
          <w:sz w:val="32"/>
          <w:szCs w:val="32"/>
          <w:color w:val="auto"/>
        </w:rPr>
        <w:t>（三）资产评估报告仅供委托人、资产评估委托合同中约定的其他资产评估报告使用人和法律、行政法规规定的资产评估报告使用人使用；除此之外，其他任何机构和个人不能成为资产评估报告的使用人。</w:t>
      </w:r>
    </w:p>
    <w:p>
      <w:pPr>
        <w:spacing w:after="0" w:line="313" w:lineRule="exact"/>
        <w:rPr>
          <w:sz w:val="20"/>
          <w:szCs w:val="20"/>
          <w:color w:val="auto"/>
        </w:rPr>
      </w:pPr>
    </w:p>
    <w:p>
      <w:pPr>
        <w:jc w:val="both"/>
        <w:ind w:left="260" w:right="160" w:firstLine="641"/>
        <w:spacing w:after="0" w:line="522" w:lineRule="exact"/>
        <w:rPr>
          <w:sz w:val="20"/>
          <w:szCs w:val="20"/>
          <w:color w:val="auto"/>
        </w:rPr>
      </w:pPr>
      <w:r>
        <w:rPr>
          <w:rFonts w:ascii="宋体" w:cs="宋体" w:eastAsia="宋体" w:hAnsi="宋体"/>
          <w:sz w:val="32"/>
          <w:szCs w:val="32"/>
          <w:color w:val="auto"/>
        </w:rPr>
        <w:t>（四）资产评估报告使用人应当正确理解评估结论，评估结论不等同于评估对象可实现价格，评估结论不应当被认为是对评估对象可实现价格的保证。</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（五）资产评估机构及其资产评估师遵守法律、行政法规</w:t>
      </w:r>
    </w:p>
    <w:p>
      <w:pPr>
        <w:sectPr>
          <w:pgSz w:w="11900" w:h="16838" w:orient="portrait"/>
          <w:cols w:equalWidth="0" w:num="1">
            <w:col w:w="9060"/>
          </w:cols>
          <w:pgMar w:left="1440" w:top="1440" w:right="1406" w:bottom="842" w:gutter="0" w:footer="0" w:header="0"/>
        </w:sectPr>
      </w:pPr>
    </w:p>
    <w:bookmarkStart w:id="2" w:name="page3"/>
    <w:bookmarkEnd w:id="2"/>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和资产评估准则，坚持独立、客观、公正的原则，并对所出具</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的资产评估报告依法承担责任。</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 资产评估报告使用人应当关注评估结论成立的假设</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前提、资产评估报告特别事项说明和使用限制。</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（七）其他需要声明的内容。</w:t>
      </w:r>
    </w:p>
    <w:p>
      <w:pPr>
        <w:spacing w:after="0" w:line="270" w:lineRule="exact"/>
        <w:rPr>
          <w:sz w:val="20"/>
          <w:szCs w:val="20"/>
          <w:color w:val="auto"/>
        </w:rPr>
      </w:pPr>
    </w:p>
    <w:p>
      <w:pPr>
        <w:ind w:left="900"/>
        <w:spacing w:after="0" w:line="354" w:lineRule="exact"/>
        <w:tabs>
          <w:tab w:leader="none" w:pos="2160" w:val="left"/>
        </w:tabs>
        <w:rPr>
          <w:sz w:val="20"/>
          <w:szCs w:val="20"/>
          <w:color w:val="auto"/>
        </w:rPr>
      </w:pPr>
      <w:r>
        <w:rPr>
          <w:rFonts w:ascii="宋体" w:cs="宋体" w:eastAsia="宋体" w:hAnsi="宋体"/>
          <w:sz w:val="31"/>
          <w:szCs w:val="31"/>
          <w:b w:val="1"/>
          <w:bCs w:val="1"/>
          <w:color w:val="auto"/>
        </w:rPr>
        <w:t>第十条</w:t>
      </w:r>
      <w:r>
        <w:rPr>
          <w:sz w:val="20"/>
          <w:szCs w:val="20"/>
          <w:color w:val="auto"/>
        </w:rPr>
        <w:tab/>
      </w:r>
      <w:r>
        <w:rPr>
          <w:rFonts w:ascii="宋体" w:cs="宋体" w:eastAsia="宋体" w:hAnsi="宋体"/>
          <w:sz w:val="31"/>
          <w:szCs w:val="31"/>
          <w:color w:val="auto"/>
        </w:rPr>
        <w:t>资产评估报告摘要应当简明扼要地反映经济行为、</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评估目的、评估对象和评估范围、价值类型、评估基准日、评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估方法、评估结论及其使用有效期、对评估结论产生影响的特</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别事项等关键内容。</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资产评估报告摘要应当采用下述文字提醒资产评估报告使</w:t>
      </w:r>
    </w:p>
    <w:p>
      <w:pPr>
        <w:spacing w:after="0" w:line="236"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用人阅读全文：</w:t>
      </w:r>
      <w:r>
        <w:rPr>
          <w:rFonts w:ascii="Arial" w:cs="Arial" w:eastAsia="Arial" w:hAnsi="Arial"/>
          <w:sz w:val="32"/>
          <w:szCs w:val="32"/>
          <w:color w:val="auto"/>
        </w:rPr>
        <w:t>“</w:t>
      </w:r>
      <w:r>
        <w:rPr>
          <w:rFonts w:ascii="宋体" w:cs="宋体" w:eastAsia="宋体" w:hAnsi="宋体"/>
          <w:sz w:val="32"/>
          <w:szCs w:val="32"/>
          <w:color w:val="auto"/>
        </w:rPr>
        <w:t>以上内容摘自资产评估报告正文，欲了解本评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估业务的详细情况和正确理解评估结论，应当阅读资产评估报</w:t>
      </w:r>
    </w:p>
    <w:p>
      <w:pPr>
        <w:spacing w:after="0" w:line="237"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告正文。</w:t>
      </w:r>
      <w:r>
        <w:rPr>
          <w:rFonts w:ascii="Arial" w:cs="Arial" w:eastAsia="Arial" w:hAnsi="Arial"/>
          <w:sz w:val="32"/>
          <w:szCs w:val="32"/>
          <w:color w:val="auto"/>
        </w:rPr>
        <w:t>”</w:t>
      </w:r>
    </w:p>
    <w:p>
      <w:pPr>
        <w:spacing w:after="0" w:line="200" w:lineRule="exact"/>
        <w:rPr>
          <w:sz w:val="20"/>
          <w:szCs w:val="20"/>
          <w:color w:val="auto"/>
        </w:rPr>
      </w:pPr>
    </w:p>
    <w:p>
      <w:pPr>
        <w:spacing w:after="0" w:line="215" w:lineRule="exact"/>
        <w:rPr>
          <w:sz w:val="20"/>
          <w:szCs w:val="20"/>
          <w:color w:val="auto"/>
        </w:rPr>
      </w:pPr>
    </w:p>
    <w:p>
      <w:pPr>
        <w:jc w:val="center"/>
        <w:ind w:right="40"/>
        <w:spacing w:after="0" w:line="366" w:lineRule="exact"/>
        <w:tabs>
          <w:tab w:leader="none" w:pos="280" w:val="left"/>
        </w:tabs>
        <w:rPr>
          <w:sz w:val="20"/>
          <w:szCs w:val="20"/>
          <w:color w:val="auto"/>
        </w:rPr>
      </w:pPr>
      <w:r>
        <w:rPr>
          <w:rFonts w:ascii="宋体" w:cs="宋体" w:eastAsia="宋体" w:hAnsi="宋体"/>
          <w:sz w:val="32"/>
          <w:szCs w:val="32"/>
          <w:color w:val="auto"/>
        </w:rPr>
        <w:t>第三章</w:t>
      </w:r>
      <w:r>
        <w:rPr>
          <w:sz w:val="20"/>
          <w:szCs w:val="20"/>
          <w:color w:val="auto"/>
        </w:rPr>
        <w:tab/>
      </w:r>
      <w:r>
        <w:rPr>
          <w:rFonts w:ascii="宋体" w:cs="宋体" w:eastAsia="宋体" w:hAnsi="宋体"/>
          <w:sz w:val="31"/>
          <w:szCs w:val="31"/>
          <w:color w:val="auto"/>
        </w:rPr>
        <w:t>正文</w:t>
      </w:r>
    </w:p>
    <w:p>
      <w:pPr>
        <w:spacing w:after="0" w:line="200" w:lineRule="exact"/>
        <w:rPr>
          <w:sz w:val="20"/>
          <w:szCs w:val="20"/>
          <w:color w:val="auto"/>
        </w:rPr>
      </w:pPr>
    </w:p>
    <w:p>
      <w:pPr>
        <w:spacing w:after="0" w:line="215"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第十一条</w:t>
      </w:r>
      <w:r>
        <w:rPr>
          <w:sz w:val="20"/>
          <w:szCs w:val="20"/>
          <w:color w:val="auto"/>
        </w:rPr>
        <w:tab/>
      </w:r>
      <w:r>
        <w:rPr>
          <w:rFonts w:ascii="宋体" w:cs="宋体" w:eastAsia="宋体" w:hAnsi="宋体"/>
          <w:sz w:val="32"/>
          <w:szCs w:val="32"/>
          <w:color w:val="auto"/>
        </w:rPr>
        <w:t>资产评估报告正文应当包括：</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（一）绪言；</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（二）委托人、被评估单位和资产评估委托合同约定的其</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他资产评估报告使用人概况；</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（三）评估目的；</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（四）评估对象和评估范围；</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（五）价值类型；</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（六）评估基准日；</w:t>
      </w:r>
    </w:p>
    <w:p>
      <w:pPr>
        <w:sectPr>
          <w:pgSz w:w="11900" w:h="16838" w:orient="portrait"/>
          <w:cols w:equalWidth="0" w:num="1">
            <w:col w:w="9220"/>
          </w:cols>
          <w:pgMar w:left="1440" w:top="1440" w:right="1246" w:bottom="686" w:gutter="0" w:footer="0" w:header="0"/>
        </w:sectPr>
      </w:pPr>
    </w:p>
    <w:bookmarkStart w:id="3" w:name="page4"/>
    <w:bookmarkEnd w:id="3"/>
    <w:p>
      <w:pPr>
        <w:spacing w:after="0" w:line="366"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（七）评估依据；</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（八）评估方法；</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（九）评估程序实施过程和情况；</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（十）评估假设；</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（十一）评估结论；</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（十二）特别事项说明；</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（十三）资产评估报告使用限制说明；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（十四）资产评估报告日；</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（十五）签名盖章。</w:t>
      </w:r>
    </w:p>
    <w:p>
      <w:pPr>
        <w:spacing w:after="0" w:line="259"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第十二条</w:t>
      </w:r>
      <w:r>
        <w:rPr>
          <w:sz w:val="20"/>
          <w:szCs w:val="20"/>
          <w:color w:val="auto"/>
        </w:rPr>
        <w:tab/>
      </w:r>
      <w:r>
        <w:rPr>
          <w:rFonts w:ascii="宋体" w:cs="宋体" w:eastAsia="宋体" w:hAnsi="宋体"/>
          <w:sz w:val="32"/>
          <w:szCs w:val="32"/>
          <w:color w:val="auto"/>
        </w:rPr>
        <w:t>绪言一般采用包含下列内容的表述格式：</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（委托人全称）：</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（资产评估机构全称）接受贵单位（公司）的委托，</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按照法律、行政法规和资产评估准则的规定，坚持独立、客观</w:t>
      </w:r>
    </w:p>
    <w:p>
      <w:pPr>
        <w:spacing w:after="0" w:line="236"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和公正的原则，采用</w:t>
      </w:r>
      <w:r>
        <w:rPr>
          <w:rFonts w:ascii="Arial" w:cs="Arial" w:eastAsia="Arial" w:hAnsi="Arial"/>
          <w:sz w:val="32"/>
          <w:szCs w:val="32"/>
          <w:color w:val="auto"/>
        </w:rPr>
        <w:t>×××</w:t>
      </w:r>
      <w:r>
        <w:rPr>
          <w:rFonts w:ascii="宋体" w:cs="宋体" w:eastAsia="宋体" w:hAnsi="宋体"/>
          <w:sz w:val="32"/>
          <w:szCs w:val="32"/>
          <w:color w:val="auto"/>
        </w:rPr>
        <w:t>评估方法（评估方法名称），按照必</w:t>
      </w:r>
    </w:p>
    <w:p>
      <w:pPr>
        <w:spacing w:after="0" w:line="236"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要的评估程序，对</w:t>
      </w:r>
      <w:r>
        <w:rPr>
          <w:rFonts w:ascii="Arial" w:cs="Arial" w:eastAsia="Arial" w:hAnsi="Arial"/>
          <w:sz w:val="32"/>
          <w:szCs w:val="32"/>
          <w:color w:val="auto"/>
        </w:rPr>
        <w:t>×××</w:t>
      </w:r>
      <w:r>
        <w:rPr>
          <w:rFonts w:ascii="宋体" w:cs="宋体" w:eastAsia="宋体" w:hAnsi="宋体"/>
          <w:sz w:val="32"/>
          <w:szCs w:val="32"/>
          <w:color w:val="auto"/>
        </w:rPr>
        <w:t>（委托人全称）拟实施</w:t>
      </w:r>
      <w:r>
        <w:rPr>
          <w:rFonts w:ascii="Arial" w:cs="Arial" w:eastAsia="Arial" w:hAnsi="Arial"/>
          <w:sz w:val="32"/>
          <w:szCs w:val="32"/>
          <w:color w:val="auto"/>
        </w:rPr>
        <w:t>×××</w:t>
      </w:r>
      <w:r>
        <w:rPr>
          <w:rFonts w:ascii="宋体" w:cs="宋体" w:eastAsia="宋体" w:hAnsi="宋体"/>
          <w:sz w:val="32"/>
          <w:szCs w:val="32"/>
          <w:color w:val="auto"/>
        </w:rPr>
        <w:t>行为（事</w:t>
      </w:r>
    </w:p>
    <w:p>
      <w:pPr>
        <w:spacing w:after="0" w:line="236"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宜）涉及的</w:t>
      </w:r>
      <w:r>
        <w:rPr>
          <w:rFonts w:ascii="Arial" w:cs="Arial" w:eastAsia="Arial" w:hAnsi="Arial"/>
          <w:sz w:val="32"/>
          <w:szCs w:val="32"/>
          <w:color w:val="auto"/>
        </w:rPr>
        <w:t>×××</w:t>
      </w:r>
      <w:r>
        <w:rPr>
          <w:rFonts w:ascii="宋体" w:cs="宋体" w:eastAsia="宋体" w:hAnsi="宋体"/>
          <w:sz w:val="32"/>
          <w:szCs w:val="32"/>
          <w:color w:val="auto"/>
        </w:rPr>
        <w:t>（资产</w:t>
      </w:r>
      <w:r>
        <w:rPr>
          <w:rFonts w:ascii="Arial" w:cs="Arial" w:eastAsia="Arial" w:hAnsi="Arial"/>
          <w:sz w:val="32"/>
          <w:szCs w:val="32"/>
          <w:color w:val="auto"/>
        </w:rPr>
        <w:t>——</w:t>
      </w:r>
      <w:r>
        <w:rPr>
          <w:rFonts w:ascii="宋体" w:cs="宋体" w:eastAsia="宋体" w:hAnsi="宋体"/>
          <w:sz w:val="32"/>
          <w:szCs w:val="32"/>
          <w:color w:val="auto"/>
        </w:rPr>
        <w:t>单项资产或者资产组合、企业整</w:t>
      </w:r>
    </w:p>
    <w:p>
      <w:pPr>
        <w:spacing w:after="0" w:line="236"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体价值、股东全部权益、股东部分权益）在</w:t>
      </w:r>
      <w:r>
        <w:rPr>
          <w:rFonts w:ascii="Arial" w:cs="Arial" w:eastAsia="Arial" w:hAnsi="Arial"/>
          <w:sz w:val="32"/>
          <w:szCs w:val="32"/>
          <w:color w:val="auto"/>
        </w:rPr>
        <w:t>××××</w:t>
      </w:r>
      <w:r>
        <w:rPr>
          <w:rFonts w:ascii="宋体" w:cs="宋体" w:eastAsia="宋体" w:hAnsi="宋体"/>
          <w:sz w:val="32"/>
          <w:szCs w:val="32"/>
          <w:color w:val="auto"/>
        </w:rPr>
        <w:t>年</w:t>
      </w:r>
      <w:r>
        <w:rPr>
          <w:rFonts w:ascii="Arial" w:cs="Arial" w:eastAsia="Arial" w:hAnsi="Arial"/>
          <w:sz w:val="32"/>
          <w:szCs w:val="32"/>
          <w:color w:val="auto"/>
        </w:rPr>
        <w:t>××</w:t>
      </w:r>
      <w:r>
        <w:rPr>
          <w:rFonts w:ascii="宋体" w:cs="宋体" w:eastAsia="宋体" w:hAnsi="宋体"/>
          <w:sz w:val="32"/>
          <w:szCs w:val="32"/>
          <w:color w:val="auto"/>
        </w:rPr>
        <w:t>月</w:t>
      </w:r>
    </w:p>
    <w:p>
      <w:pPr>
        <w:spacing w:after="0" w:line="236" w:lineRule="exact"/>
        <w:rPr>
          <w:sz w:val="20"/>
          <w:szCs w:val="20"/>
          <w:color w:val="auto"/>
        </w:rPr>
      </w:pPr>
    </w:p>
    <w:p>
      <w:pPr>
        <w:ind w:left="26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日的</w:t>
      </w:r>
      <w:r>
        <w:rPr>
          <w:rFonts w:ascii="Arial" w:cs="Arial" w:eastAsia="Arial" w:hAnsi="Arial"/>
          <w:sz w:val="32"/>
          <w:szCs w:val="32"/>
          <w:color w:val="auto"/>
        </w:rPr>
        <w:t>××</w:t>
      </w:r>
      <w:r>
        <w:rPr>
          <w:rFonts w:ascii="宋体" w:cs="宋体" w:eastAsia="宋体" w:hAnsi="宋体"/>
          <w:sz w:val="32"/>
          <w:szCs w:val="32"/>
          <w:color w:val="auto"/>
        </w:rPr>
        <w:t>价值（价值类型）进行了评估。现将资产评估情</w:t>
      </w:r>
    </w:p>
    <w:p>
      <w:pPr>
        <w:spacing w:after="0" w:line="237"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况报告如下。</w:t>
      </w:r>
      <w:r>
        <w:rPr>
          <w:rFonts w:ascii="Arial" w:cs="Arial" w:eastAsia="Arial" w:hAnsi="Arial"/>
          <w:sz w:val="32"/>
          <w:szCs w:val="32"/>
          <w:color w:val="auto"/>
        </w:rPr>
        <w:t>”</w:t>
      </w:r>
    </w:p>
    <w:p>
      <w:pPr>
        <w:spacing w:after="0" w:line="259"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第十三条</w:t>
      </w:r>
      <w:r>
        <w:rPr>
          <w:sz w:val="20"/>
          <w:szCs w:val="20"/>
          <w:color w:val="auto"/>
        </w:rPr>
        <w:tab/>
      </w:r>
      <w:r>
        <w:rPr>
          <w:rFonts w:ascii="宋体" w:cs="宋体" w:eastAsia="宋体" w:hAnsi="宋体"/>
          <w:sz w:val="32"/>
          <w:szCs w:val="32"/>
          <w:color w:val="auto"/>
        </w:rPr>
        <w:t>资产评估报告正文应当介绍委托人、被评估单</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位和资产评估委托合同约定的其他资产评估报告使用人的概况：</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（一）委托人和资产评估委托合同约定的其他资产评估报</w:t>
      </w:r>
    </w:p>
    <w:p>
      <w:pPr>
        <w:sectPr>
          <w:pgSz w:w="11900" w:h="16838" w:orient="portrait"/>
          <w:cols w:equalWidth="0" w:num="1">
            <w:col w:w="9220"/>
          </w:cols>
          <w:pgMar w:left="1440" w:top="1440" w:right="1246" w:bottom="998" w:gutter="0" w:footer="0" w:header="0"/>
        </w:sectPr>
      </w:pPr>
    </w:p>
    <w:bookmarkStart w:id="4" w:name="page5"/>
    <w:bookmarkEnd w:id="4"/>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告使用人概况一般包括名称、法定住所及经营场所、法定代表</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人、注册资本及主要经营范围等；</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（二）企业价值评估中，被评估单位概况一般包括：</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．名称、法定住所及经营场所、法定代表人、主要经营范</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围、注册资本、公司股东及持股比例、股权变更情况及必要的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公司产权和经营管理结构、历史情况等；</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．近三年资产、财务、经营状况；</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3</w:t>
      </w:r>
      <w:r>
        <w:rPr>
          <w:rFonts w:ascii="宋体" w:cs="宋体" w:eastAsia="宋体" w:hAnsi="宋体"/>
          <w:sz w:val="31"/>
          <w:szCs w:val="31"/>
          <w:color w:val="auto"/>
        </w:rPr>
        <w:t>．委托人和被评估单位之间的关系（如产权关系、交易关</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系）；</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（三）单项资产或者资产组合评估，被评估单位概况一般</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包括名称、法定住所及经营场所、法定代表人、注册资本及主</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要经营范围等；</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（四）委托人与被评估单位为同一企业，按对被评估单位</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的要求编写；</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（五）存在交叉持股的，应当列示交叉持股图并简述交叉</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持股关系及是否属于同一控制的情形；</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（六）存在关联交易的，应当说明关联方、交易方式等基</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本情况。</w:t>
      </w:r>
    </w:p>
    <w:p>
      <w:pPr>
        <w:spacing w:after="0" w:line="260"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第十四条</w:t>
      </w:r>
      <w:r>
        <w:rPr>
          <w:sz w:val="20"/>
          <w:szCs w:val="20"/>
          <w:color w:val="auto"/>
        </w:rPr>
        <w:tab/>
      </w:r>
      <w:r>
        <w:rPr>
          <w:rFonts w:ascii="宋体" w:cs="宋体" w:eastAsia="宋体" w:hAnsi="宋体"/>
          <w:sz w:val="32"/>
          <w:szCs w:val="32"/>
          <w:color w:val="auto"/>
        </w:rPr>
        <w:t>资产评估报告应当说明本次资产评估的目的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及其所对应的经济行为，并说明该经济行为获得批准的相关情</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况或者其他经济行为依据。</w:t>
      </w:r>
    </w:p>
    <w:p>
      <w:pPr>
        <w:spacing w:after="0" w:line="259" w:lineRule="exact"/>
        <w:rPr>
          <w:sz w:val="20"/>
          <w:szCs w:val="20"/>
          <w:color w:val="auto"/>
        </w:rPr>
      </w:pPr>
    </w:p>
    <w:p>
      <w:pPr>
        <w:ind w:left="900"/>
        <w:spacing w:after="0" w:line="366" w:lineRule="exact"/>
        <w:tabs>
          <w:tab w:leader="none" w:pos="2520" w:val="left"/>
        </w:tabs>
        <w:rPr>
          <w:sz w:val="20"/>
          <w:szCs w:val="20"/>
          <w:color w:val="auto"/>
        </w:rPr>
      </w:pPr>
      <w:r>
        <w:rPr>
          <w:rFonts w:ascii="宋体" w:cs="宋体" w:eastAsia="宋体" w:hAnsi="宋体"/>
          <w:sz w:val="32"/>
          <w:szCs w:val="32"/>
          <w:b w:val="1"/>
          <w:bCs w:val="1"/>
          <w:color w:val="auto"/>
        </w:rPr>
        <w:t>第十五条</w:t>
      </w:r>
      <w:r>
        <w:rPr>
          <w:sz w:val="20"/>
          <w:szCs w:val="20"/>
          <w:color w:val="auto"/>
        </w:rPr>
        <w:tab/>
      </w:r>
      <w:r>
        <w:rPr>
          <w:rFonts w:ascii="宋体" w:cs="宋体" w:eastAsia="宋体" w:hAnsi="宋体"/>
          <w:sz w:val="32"/>
          <w:szCs w:val="32"/>
          <w:color w:val="auto"/>
        </w:rPr>
        <w:t>资产评估报告应当对评估对象进行具体描述，</w:t>
      </w:r>
    </w:p>
    <w:p>
      <w:pPr>
        <w:sectPr>
          <w:pgSz w:w="11900" w:h="16838" w:orient="portrait"/>
          <w:cols w:equalWidth="0" w:num="1">
            <w:col w:w="9060"/>
          </w:cols>
          <w:pgMar w:left="1440" w:top="1440" w:right="1406" w:bottom="998" w:gutter="0" w:footer="0" w:header="0"/>
        </w:sectPr>
      </w:pPr>
    </w:p>
    <w:bookmarkStart w:id="5" w:name="page6"/>
    <w:bookmarkEnd w:id="5"/>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以文字、表格的方式说明评估范围。</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企业价值评估中，应当说明下列内容：</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（一）委托评估对象和评估范围与经济行为涉及的评估对</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象和评估范围是否一致，不一致的应当说明原因，并说明是否</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经过审计；</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（二）企业申报的表外资产的类型、数量；</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（三）引用其他机构出具的报告结论所涉及的资产类型、</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数量和账面金额（或者评估值）。</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单项资产或者资产组合评估，应当说明委托评估资产的数</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量（如土地面积、建筑物面积、设备数量、无形资产数量等）、</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法律权属状况、经济状况和物理状况等。</w:t>
      </w:r>
    </w:p>
    <w:p>
      <w:pPr>
        <w:spacing w:after="0" w:line="259"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第十六条</w:t>
      </w:r>
      <w:r>
        <w:rPr>
          <w:sz w:val="20"/>
          <w:szCs w:val="20"/>
          <w:color w:val="auto"/>
        </w:rPr>
        <w:tab/>
      </w:r>
      <w:r>
        <w:rPr>
          <w:rFonts w:ascii="宋体" w:cs="宋体" w:eastAsia="宋体" w:hAnsi="宋体"/>
          <w:sz w:val="32"/>
          <w:szCs w:val="32"/>
          <w:color w:val="auto"/>
        </w:rPr>
        <w:t>资产评估报告应当明确价值类型及其定义。选</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择市场价值以外的价值类型，还应当说明价值类型选择理由。</w:t>
      </w:r>
    </w:p>
    <w:p>
      <w:pPr>
        <w:spacing w:after="0" w:line="259"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第十七条</w:t>
      </w:r>
      <w:r>
        <w:rPr>
          <w:sz w:val="20"/>
          <w:szCs w:val="20"/>
          <w:color w:val="auto"/>
        </w:rPr>
        <w:tab/>
      </w:r>
      <w:r>
        <w:rPr>
          <w:rFonts w:ascii="宋体" w:cs="宋体" w:eastAsia="宋体" w:hAnsi="宋体"/>
          <w:sz w:val="32"/>
          <w:szCs w:val="32"/>
          <w:color w:val="auto"/>
        </w:rPr>
        <w:t>资产评估报告应当说明评估基准日及确定评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估基准日所考虑的主要因素，包括下列主要内容：</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（一）本项目评估基准日是</w:t>
      </w:r>
      <w:r>
        <w:rPr>
          <w:rFonts w:ascii="Arial" w:cs="Arial" w:eastAsia="Arial" w:hAnsi="Arial"/>
          <w:sz w:val="32"/>
          <w:szCs w:val="32"/>
          <w:color w:val="auto"/>
        </w:rPr>
        <w:t>××××</w:t>
      </w:r>
      <w:r>
        <w:rPr>
          <w:rFonts w:ascii="宋体" w:cs="宋体" w:eastAsia="宋体" w:hAnsi="宋体"/>
          <w:sz w:val="32"/>
          <w:szCs w:val="32"/>
          <w:color w:val="auto"/>
        </w:rPr>
        <w:t>年</w:t>
      </w:r>
      <w:r>
        <w:rPr>
          <w:rFonts w:ascii="Arial" w:cs="Arial" w:eastAsia="Arial" w:hAnsi="Arial"/>
          <w:sz w:val="32"/>
          <w:szCs w:val="32"/>
          <w:color w:val="auto"/>
        </w:rPr>
        <w:t>××</w:t>
      </w:r>
      <w:r>
        <w:rPr>
          <w:rFonts w:ascii="宋体" w:cs="宋体" w:eastAsia="宋体" w:hAnsi="宋体"/>
          <w:sz w:val="32"/>
          <w:szCs w:val="32"/>
          <w:color w:val="auto"/>
        </w:rPr>
        <w:t>月</w:t>
      </w:r>
      <w:r>
        <w:rPr>
          <w:rFonts w:ascii="Arial" w:cs="Arial" w:eastAsia="Arial" w:hAnsi="Arial"/>
          <w:sz w:val="32"/>
          <w:szCs w:val="32"/>
          <w:color w:val="auto"/>
        </w:rPr>
        <w:t>××</w:t>
      </w:r>
      <w:r>
        <w:rPr>
          <w:rFonts w:ascii="宋体" w:cs="宋体" w:eastAsia="宋体" w:hAnsi="宋体"/>
          <w:sz w:val="32"/>
          <w:szCs w:val="32"/>
          <w:color w:val="auto"/>
        </w:rPr>
        <w:t>日；</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（二）确定评估基准日所考虑的主要因素（如经济行为的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实现、会计期末、利率和汇率变化等）。</w:t>
      </w:r>
    </w:p>
    <w:p>
      <w:pPr>
        <w:spacing w:after="0" w:line="260"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第十八条</w:t>
      </w:r>
      <w:r>
        <w:rPr>
          <w:sz w:val="20"/>
          <w:szCs w:val="20"/>
          <w:color w:val="auto"/>
        </w:rPr>
        <w:tab/>
      </w:r>
      <w:r>
        <w:rPr>
          <w:rFonts w:ascii="宋体" w:cs="宋体" w:eastAsia="宋体" w:hAnsi="宋体"/>
          <w:sz w:val="32"/>
          <w:szCs w:val="32"/>
          <w:color w:val="auto"/>
        </w:rPr>
        <w:t>资产评估报告应当说明本次评估业务所对应</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的经济行为、法律法规、评估准则、权属、取价等依据。</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（一）经济行为依据应当为有效批复文件以及可以说明经</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济行为及其所涉及的评估对象与评估范围的其他文件资料；</w:t>
      </w:r>
    </w:p>
    <w:p>
      <w:pPr>
        <w:sectPr>
          <w:pgSz w:w="11900" w:h="16838" w:orient="portrait"/>
          <w:cols w:equalWidth="0" w:num="1">
            <w:col w:w="9060"/>
          </w:cols>
          <w:pgMar w:left="1440" w:top="1440" w:right="1406" w:bottom="998" w:gutter="0" w:footer="0" w:header="0"/>
        </w:sectPr>
      </w:pPr>
    </w:p>
    <w:bookmarkStart w:id="6" w:name="page7"/>
    <w:bookmarkEnd w:id="6"/>
    <w:p>
      <w:pPr>
        <w:spacing w:after="0" w:line="200" w:lineRule="exact"/>
        <w:rPr>
          <w:sz w:val="20"/>
          <w:szCs w:val="20"/>
          <w:color w:val="auto"/>
        </w:rPr>
      </w:pPr>
    </w:p>
    <w:p>
      <w:pPr>
        <w:spacing w:after="0" w:line="214" w:lineRule="exact"/>
        <w:rPr>
          <w:sz w:val="20"/>
          <w:szCs w:val="20"/>
          <w:color w:val="auto"/>
        </w:rPr>
      </w:pPr>
    </w:p>
    <w:p>
      <w:pPr>
        <w:jc w:val="both"/>
        <w:ind w:left="260" w:right="126" w:firstLine="641"/>
        <w:spacing w:after="0" w:line="470" w:lineRule="exact"/>
        <w:rPr>
          <w:sz w:val="20"/>
          <w:szCs w:val="20"/>
          <w:color w:val="auto"/>
        </w:rPr>
      </w:pPr>
      <w:r>
        <w:rPr>
          <w:rFonts w:ascii="宋体" w:cs="宋体" w:eastAsia="宋体" w:hAnsi="宋体"/>
          <w:sz w:val="32"/>
          <w:szCs w:val="32"/>
          <w:color w:val="auto"/>
        </w:rPr>
        <w:t>（二）法律法规依据通常包括与国有资产评估有关的法律法规等；</w:t>
      </w:r>
    </w:p>
    <w:p>
      <w:pPr>
        <w:spacing w:after="0" w:line="308" w:lineRule="exact"/>
        <w:rPr>
          <w:sz w:val="20"/>
          <w:szCs w:val="20"/>
          <w:color w:val="auto"/>
        </w:rPr>
      </w:pPr>
    </w:p>
    <w:p>
      <w:pPr>
        <w:jc w:val="both"/>
        <w:ind w:left="260" w:right="126" w:firstLine="641"/>
        <w:spacing w:after="0" w:line="470" w:lineRule="exact"/>
        <w:rPr>
          <w:sz w:val="20"/>
          <w:szCs w:val="20"/>
          <w:color w:val="auto"/>
        </w:rPr>
      </w:pPr>
      <w:r>
        <w:rPr>
          <w:rFonts w:ascii="宋体" w:cs="宋体" w:eastAsia="宋体" w:hAnsi="宋体"/>
          <w:sz w:val="32"/>
          <w:szCs w:val="32"/>
          <w:color w:val="auto"/>
        </w:rPr>
        <w:t>（三）评估准则依据包括本评估业务中依据的相关资产评估准则和相关规范；</w:t>
      </w:r>
    </w:p>
    <w:p>
      <w:pPr>
        <w:spacing w:after="0" w:line="308" w:lineRule="exact"/>
        <w:rPr>
          <w:sz w:val="20"/>
          <w:szCs w:val="20"/>
          <w:color w:val="auto"/>
        </w:rPr>
      </w:pPr>
    </w:p>
    <w:p>
      <w:pPr>
        <w:jc w:val="both"/>
        <w:ind w:left="260" w:right="126" w:firstLine="641"/>
        <w:spacing w:after="0" w:line="586" w:lineRule="exact"/>
        <w:rPr>
          <w:sz w:val="20"/>
          <w:szCs w:val="20"/>
          <w:color w:val="auto"/>
        </w:rPr>
      </w:pPr>
      <w:r>
        <w:rPr>
          <w:rFonts w:ascii="宋体" w:cs="宋体" w:eastAsia="宋体" w:hAnsi="宋体"/>
          <w:sz w:val="32"/>
          <w:szCs w:val="32"/>
          <w:color w:val="auto"/>
        </w:rPr>
        <w:t>（四）权属依据通常包括国有资产产权登记证书、基准日股份持有证明、出资证明、国有土地使用证（或者国有土地使用权出让合同）、房屋所有权证、房地产权证（或者不动产权证书）、采矿许可证、勘查许可证、林权证、专利证（发明专利证书、实用新型专利证书、外观设计专利证书）、商标注册证、著作权（版权）相关权属证明、船舶所有权登记证书、船舶国籍证书、机动车行驶证、有关产权转让合同、其他权属证明文件等；</w:t>
      </w:r>
    </w:p>
    <w:p>
      <w:pPr>
        <w:spacing w:after="0" w:line="261"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（五）取价依据通常包括企业提供的财务会计、经营方面</w:t>
      </w:r>
    </w:p>
    <w:p>
      <w:pPr>
        <w:spacing w:after="0" w:line="282" w:lineRule="exact"/>
        <w:rPr>
          <w:sz w:val="20"/>
          <w:szCs w:val="20"/>
          <w:color w:val="auto"/>
        </w:rPr>
      </w:pPr>
    </w:p>
    <w:p>
      <w:pPr>
        <w:ind w:left="260"/>
        <w:spacing w:after="0" w:line="343" w:lineRule="exact"/>
        <w:rPr>
          <w:sz w:val="20"/>
          <w:szCs w:val="20"/>
          <w:color w:val="auto"/>
        </w:rPr>
      </w:pPr>
      <w:r>
        <w:rPr>
          <w:rFonts w:ascii="宋体" w:cs="宋体" w:eastAsia="宋体" w:hAnsi="宋体"/>
          <w:sz w:val="30"/>
          <w:szCs w:val="30"/>
          <w:color w:val="auto"/>
        </w:rPr>
        <w:t>的资料，国家有关部门发布的统计资料、技术标准和政策文件，</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以及评估机构收集的有关询价资料、参数资料等；</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（六）其他参考依据。</w:t>
      </w:r>
    </w:p>
    <w:p>
      <w:pPr>
        <w:spacing w:after="0" w:line="259"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第十九条</w:t>
      </w:r>
      <w:r>
        <w:rPr>
          <w:sz w:val="20"/>
          <w:szCs w:val="20"/>
          <w:color w:val="auto"/>
        </w:rPr>
        <w:tab/>
      </w:r>
      <w:r>
        <w:rPr>
          <w:rFonts w:ascii="宋体" w:cs="宋体" w:eastAsia="宋体" w:hAnsi="宋体"/>
          <w:sz w:val="32"/>
          <w:szCs w:val="32"/>
          <w:color w:val="auto"/>
        </w:rPr>
        <w:t>资产评估报告应当说明所选用的评估方法及</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其理由。</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未采用两种以上评估方法进行评估，资产评估报告应当披</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露其他基本评估方法不适用的原因或者所受的操作限制。</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采用两种以上方法进行评估的，还应当说明评估结论确定</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的方法。</w:t>
      </w:r>
    </w:p>
    <w:p>
      <w:pPr>
        <w:sectPr>
          <w:pgSz w:w="11900" w:h="16838" w:orient="portrait"/>
          <w:cols w:equalWidth="0" w:num="1">
            <w:col w:w="9026"/>
          </w:cols>
          <w:pgMar w:left="1440" w:top="1440" w:right="1440" w:bottom="998" w:gutter="0" w:footer="0" w:header="0"/>
        </w:sectPr>
      </w:pPr>
    </w:p>
    <w:bookmarkStart w:id="7" w:name="page8"/>
    <w:bookmarkEnd w:id="7"/>
    <w:p>
      <w:pPr>
        <w:spacing w:after="0" w:line="366"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第二十条</w:t>
      </w:r>
      <w:r>
        <w:rPr>
          <w:sz w:val="20"/>
          <w:szCs w:val="20"/>
          <w:color w:val="auto"/>
        </w:rPr>
        <w:tab/>
      </w:r>
      <w:r>
        <w:rPr>
          <w:rFonts w:ascii="宋体" w:cs="宋体" w:eastAsia="宋体" w:hAnsi="宋体"/>
          <w:sz w:val="32"/>
          <w:szCs w:val="32"/>
          <w:color w:val="auto"/>
        </w:rPr>
        <w:t>资产评估报告应当说明自接受资产评估业务</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委托起至出具资产评估报告的主要评估工作过程，一般包括以</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下内容：</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（一）接受项目委托，确定评估目的、评估对象与评估范</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围、评估基准日，拟定评估计划等过程；</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（二）指导被评估单位清查资产、准备评估资料，核实资</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产与验证资料等过程；</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（三）选择评估方法、收集市场信息和估算等过程；</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（四）评估结果汇总、评估结论分析、撰写报告和内部审</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核等过程。</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第二十一条</w:t>
      </w:r>
      <w:r>
        <w:rPr>
          <w:sz w:val="20"/>
          <w:szCs w:val="20"/>
          <w:color w:val="auto"/>
        </w:rPr>
        <w:tab/>
      </w:r>
      <w:r>
        <w:rPr>
          <w:rFonts w:ascii="宋体" w:cs="宋体" w:eastAsia="宋体" w:hAnsi="宋体"/>
          <w:sz w:val="32"/>
          <w:szCs w:val="32"/>
          <w:color w:val="auto"/>
        </w:rPr>
        <w:t>资产评估报告应当说明资产评估所使用的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假设。</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第二十二条</w:t>
      </w:r>
      <w:r>
        <w:rPr>
          <w:sz w:val="20"/>
          <w:szCs w:val="20"/>
          <w:color w:val="auto"/>
        </w:rPr>
        <w:tab/>
      </w:r>
      <w:r>
        <w:rPr>
          <w:rFonts w:ascii="宋体" w:cs="宋体" w:eastAsia="宋体" w:hAnsi="宋体"/>
          <w:sz w:val="32"/>
          <w:szCs w:val="32"/>
          <w:color w:val="auto"/>
        </w:rPr>
        <w:t>资产评估报告应当以文字和数字形式清晰</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说明评估结论，并明确评估结论的使用有效期。评估结论通常</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是确定的数值。境外企业国有资产评估报告的评估结论可以用</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区间值表达。</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（一）采用资产基础法进行企业价值评估，应当以文字形</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式说明资产、负债、所有者权益（净资产）的账面价值、评估</w:t>
      </w:r>
    </w:p>
    <w:p>
      <w:pPr>
        <w:spacing w:after="0" w:line="271"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价值及其增减幅度，并同时采用评估结果汇总表反映评估结论；</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（二）单项资产或者资产组合评估，应当以文字形式说明</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账面价值、评估价值及其增减幅度；</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（三）采用两种以上方法进行企业价值评估，除单独说明</w:t>
      </w:r>
    </w:p>
    <w:p>
      <w:pPr>
        <w:sectPr>
          <w:pgSz w:w="11900" w:h="16838" w:orient="portrait"/>
          <w:cols w:equalWidth="0" w:num="1">
            <w:col w:w="9060"/>
          </w:cols>
          <w:pgMar w:left="1440" w:top="1440" w:right="1406" w:bottom="998" w:gutter="0" w:footer="0" w:header="0"/>
        </w:sectPr>
      </w:pPr>
    </w:p>
    <w:bookmarkStart w:id="8" w:name="page9"/>
    <w:bookmarkEnd w:id="8"/>
    <w:p>
      <w:pPr>
        <w:spacing w:after="0" w:line="200" w:lineRule="exact"/>
        <w:rPr>
          <w:sz w:val="20"/>
          <w:szCs w:val="20"/>
          <w:color w:val="auto"/>
        </w:rPr>
      </w:pPr>
    </w:p>
    <w:p>
      <w:pPr>
        <w:spacing w:after="0" w:line="214" w:lineRule="exact"/>
        <w:rPr>
          <w:sz w:val="20"/>
          <w:szCs w:val="20"/>
          <w:color w:val="auto"/>
        </w:rPr>
      </w:pPr>
    </w:p>
    <w:p>
      <w:pPr>
        <w:ind w:left="260" w:right="126"/>
        <w:spacing w:after="0" w:line="470" w:lineRule="exact"/>
        <w:rPr>
          <w:sz w:val="20"/>
          <w:szCs w:val="20"/>
          <w:color w:val="auto"/>
        </w:rPr>
      </w:pPr>
      <w:r>
        <w:rPr>
          <w:rFonts w:ascii="宋体" w:cs="宋体" w:eastAsia="宋体" w:hAnsi="宋体"/>
          <w:sz w:val="32"/>
          <w:szCs w:val="32"/>
          <w:color w:val="auto"/>
        </w:rPr>
        <w:t>评估价值和增减变动幅度外，应当说明两种以上评估方法结果的差异及其原因和最终确定评估结论的理由；</w:t>
      </w:r>
    </w:p>
    <w:p>
      <w:pPr>
        <w:spacing w:after="0" w:line="272"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（四）存在多家被评估单位的项目，应当分别说明评估价</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值；</w:t>
      </w:r>
    </w:p>
    <w:p>
      <w:pPr>
        <w:spacing w:after="0" w:line="307" w:lineRule="exact"/>
        <w:rPr>
          <w:sz w:val="20"/>
          <w:szCs w:val="20"/>
          <w:color w:val="auto"/>
        </w:rPr>
      </w:pPr>
    </w:p>
    <w:p>
      <w:pPr>
        <w:ind w:left="260" w:right="126" w:firstLine="641"/>
        <w:spacing w:after="0" w:line="470" w:lineRule="exact"/>
        <w:rPr>
          <w:sz w:val="20"/>
          <w:szCs w:val="20"/>
          <w:color w:val="auto"/>
        </w:rPr>
      </w:pPr>
      <w:r>
        <w:rPr>
          <w:rFonts w:ascii="宋体" w:cs="宋体" w:eastAsia="宋体" w:hAnsi="宋体"/>
          <w:sz w:val="32"/>
          <w:szCs w:val="32"/>
          <w:color w:val="auto"/>
        </w:rPr>
        <w:t>（五）评估结论为区间值的，应当在区间之内确定一个最大可能值，并说明确定依据。</w:t>
      </w:r>
    </w:p>
    <w:p>
      <w:pPr>
        <w:spacing w:after="0" w:line="309" w:lineRule="exact"/>
        <w:rPr>
          <w:sz w:val="20"/>
          <w:szCs w:val="20"/>
          <w:color w:val="auto"/>
        </w:rPr>
      </w:pPr>
    </w:p>
    <w:p>
      <w:pPr>
        <w:ind w:left="260" w:right="126" w:firstLine="643"/>
        <w:spacing w:after="0" w:line="522" w:lineRule="exact"/>
        <w:rPr>
          <w:sz w:val="20"/>
          <w:szCs w:val="20"/>
          <w:color w:val="auto"/>
        </w:rPr>
      </w:pPr>
      <w:r>
        <w:rPr>
          <w:rFonts w:ascii="宋体" w:cs="宋体" w:eastAsia="宋体" w:hAnsi="宋体"/>
          <w:sz w:val="32"/>
          <w:szCs w:val="32"/>
          <w:b w:val="1"/>
          <w:bCs w:val="1"/>
          <w:color w:val="auto"/>
        </w:rPr>
        <w:t xml:space="preserve">第二十三条 </w:t>
      </w:r>
      <w:r>
        <w:rPr>
          <w:rFonts w:ascii="宋体" w:cs="宋体" w:eastAsia="宋体" w:hAnsi="宋体"/>
          <w:sz w:val="32"/>
          <w:szCs w:val="32"/>
          <w:color w:val="auto"/>
        </w:rPr>
        <w:t>资产评估报告应当说明评估程序受到的限制、评估特殊处理、评估结论瑕疵等特别事项，以及期后事项，通常包括下列内容：</w:t>
      </w:r>
    </w:p>
    <w:p>
      <w:pPr>
        <w:spacing w:after="0" w:line="307" w:lineRule="exact"/>
        <w:rPr>
          <w:sz w:val="20"/>
          <w:szCs w:val="20"/>
          <w:color w:val="auto"/>
        </w:rPr>
      </w:pPr>
    </w:p>
    <w:p>
      <w:pPr>
        <w:ind w:left="260" w:right="126" w:firstLine="641"/>
        <w:spacing w:after="0" w:line="470" w:lineRule="exact"/>
        <w:rPr>
          <w:sz w:val="20"/>
          <w:szCs w:val="20"/>
          <w:color w:val="auto"/>
        </w:rPr>
      </w:pPr>
      <w:r>
        <w:rPr>
          <w:rFonts w:ascii="宋体" w:cs="宋体" w:eastAsia="宋体" w:hAnsi="宋体"/>
          <w:sz w:val="32"/>
          <w:szCs w:val="32"/>
          <w:color w:val="auto"/>
        </w:rPr>
        <w:t>（一）引用其他机构出具报告结论的情况，并说明承担引用不当的相关责任；</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（二）权属资料不全面或者存在瑕疵的情形；</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（三）评估程序受到限制的情形；</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（四）评估资料不完整的情形；</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（五）评估基准日存在的法律、经济等未决事项；</w:t>
      </w:r>
    </w:p>
    <w:p>
      <w:pPr>
        <w:spacing w:after="0" w:line="307" w:lineRule="exact"/>
        <w:rPr>
          <w:sz w:val="20"/>
          <w:szCs w:val="20"/>
          <w:color w:val="auto"/>
        </w:rPr>
      </w:pPr>
    </w:p>
    <w:p>
      <w:pPr>
        <w:ind w:left="260" w:right="126" w:firstLine="641"/>
        <w:spacing w:after="0" w:line="470" w:lineRule="exact"/>
        <w:rPr>
          <w:sz w:val="20"/>
          <w:szCs w:val="20"/>
          <w:color w:val="auto"/>
        </w:rPr>
      </w:pPr>
      <w:r>
        <w:rPr>
          <w:rFonts w:ascii="宋体" w:cs="宋体" w:eastAsia="宋体" w:hAnsi="宋体"/>
          <w:sz w:val="32"/>
          <w:szCs w:val="32"/>
          <w:color w:val="auto"/>
        </w:rPr>
        <w:t>（六）担保、租赁及其或有负债（或有资产）等事项的性质、金额及与评估对象的关系；</w:t>
      </w:r>
    </w:p>
    <w:p>
      <w:pPr>
        <w:spacing w:after="0" w:line="308" w:lineRule="exact"/>
        <w:rPr>
          <w:sz w:val="20"/>
          <w:szCs w:val="20"/>
          <w:color w:val="auto"/>
        </w:rPr>
      </w:pPr>
    </w:p>
    <w:p>
      <w:pPr>
        <w:ind w:left="260" w:right="126" w:firstLine="641"/>
        <w:spacing w:after="0" w:line="470" w:lineRule="exact"/>
        <w:rPr>
          <w:sz w:val="20"/>
          <w:szCs w:val="20"/>
          <w:color w:val="auto"/>
        </w:rPr>
      </w:pPr>
      <w:r>
        <w:rPr>
          <w:rFonts w:ascii="宋体" w:cs="宋体" w:eastAsia="宋体" w:hAnsi="宋体"/>
          <w:sz w:val="32"/>
          <w:szCs w:val="32"/>
          <w:color w:val="auto"/>
        </w:rPr>
        <w:t>（七）评估基准日至资产评估报告日之间可能对评估结论产生影响的事项；</w:t>
      </w:r>
    </w:p>
    <w:p>
      <w:pPr>
        <w:spacing w:after="0" w:line="309" w:lineRule="exact"/>
        <w:rPr>
          <w:sz w:val="20"/>
          <w:szCs w:val="20"/>
          <w:color w:val="auto"/>
        </w:rPr>
      </w:pPr>
    </w:p>
    <w:p>
      <w:pPr>
        <w:ind w:left="260" w:right="126" w:firstLine="641"/>
        <w:spacing w:after="0" w:line="470" w:lineRule="exact"/>
        <w:rPr>
          <w:sz w:val="20"/>
          <w:szCs w:val="20"/>
          <w:color w:val="auto"/>
        </w:rPr>
      </w:pPr>
      <w:r>
        <w:rPr>
          <w:rFonts w:ascii="宋体" w:cs="宋体" w:eastAsia="宋体" w:hAnsi="宋体"/>
          <w:sz w:val="32"/>
          <w:szCs w:val="32"/>
          <w:color w:val="auto"/>
        </w:rPr>
        <w:t>（八）本次资产评估对应的经济行为中，可能对评估结论产生重大影响的瑕疵情形。</w:t>
      </w:r>
    </w:p>
    <w:p>
      <w:pPr>
        <w:spacing w:after="0" w:line="272"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资产评估报告应当说明对特别事项的处理方式、特别事项</w:t>
      </w:r>
    </w:p>
    <w:p>
      <w:pPr>
        <w:sectPr>
          <w:pgSz w:w="11900" w:h="16838" w:orient="portrait"/>
          <w:cols w:equalWidth="0" w:num="1">
            <w:col w:w="9026"/>
          </w:cols>
          <w:pgMar w:left="1440" w:top="1440" w:right="1440" w:bottom="998" w:gutter="0" w:footer="0" w:header="0"/>
        </w:sectPr>
      </w:pPr>
    </w:p>
    <w:bookmarkStart w:id="9" w:name="page10"/>
    <w:bookmarkEnd w:id="9"/>
    <w:p>
      <w:pPr>
        <w:spacing w:after="0" w:line="377"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对评估结论可能产生的影响，并提示资产评估报告使用人关注</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其对经济行为的影响。</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第二十四条</w:t>
      </w:r>
      <w:r>
        <w:rPr>
          <w:sz w:val="20"/>
          <w:szCs w:val="20"/>
          <w:color w:val="auto"/>
        </w:rPr>
        <w:tab/>
      </w:r>
      <w:r>
        <w:rPr>
          <w:rFonts w:ascii="宋体" w:cs="宋体" w:eastAsia="宋体" w:hAnsi="宋体"/>
          <w:sz w:val="32"/>
          <w:szCs w:val="32"/>
          <w:color w:val="auto"/>
        </w:rPr>
        <w:t>资产评估报告使用限制应当载明：</w:t>
      </w:r>
    </w:p>
    <w:p>
      <w:pPr>
        <w:spacing w:after="0" w:line="156"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（一）使用范围；</w:t>
      </w:r>
    </w:p>
    <w:p>
      <w:pPr>
        <w:spacing w:after="0" w:line="200" w:lineRule="exact"/>
        <w:rPr>
          <w:sz w:val="20"/>
          <w:szCs w:val="20"/>
          <w:color w:val="auto"/>
        </w:rPr>
      </w:pPr>
    </w:p>
    <w:p>
      <w:pPr>
        <w:spacing w:after="0" w:line="208" w:lineRule="exact"/>
        <w:rPr>
          <w:sz w:val="20"/>
          <w:szCs w:val="20"/>
          <w:color w:val="auto"/>
        </w:rPr>
      </w:pPr>
    </w:p>
    <w:p>
      <w:pPr>
        <w:jc w:val="both"/>
        <w:ind w:left="260" w:right="126" w:firstLine="641"/>
        <w:spacing w:after="0" w:line="522" w:lineRule="exact"/>
        <w:rPr>
          <w:sz w:val="20"/>
          <w:szCs w:val="20"/>
          <w:color w:val="auto"/>
        </w:rPr>
      </w:pPr>
      <w:r>
        <w:rPr>
          <w:rFonts w:ascii="宋体" w:cs="宋体" w:eastAsia="宋体" w:hAnsi="宋体"/>
          <w:sz w:val="32"/>
          <w:szCs w:val="32"/>
          <w:color w:val="auto"/>
        </w:rPr>
        <w:t>（二）委托人或者其他资产评估报告使用人未按照法律、行政法规规定和资产评估报告载明的使用范围使用资产评估报告的，资产评估机构及其资产评估师不承担责任；</w:t>
      </w:r>
    </w:p>
    <w:p>
      <w:pPr>
        <w:spacing w:after="0" w:line="308" w:lineRule="exact"/>
        <w:rPr>
          <w:sz w:val="20"/>
          <w:szCs w:val="20"/>
          <w:color w:val="auto"/>
        </w:rPr>
      </w:pPr>
    </w:p>
    <w:p>
      <w:pPr>
        <w:jc w:val="both"/>
        <w:ind w:left="260" w:right="126" w:firstLine="641"/>
        <w:spacing w:after="0" w:line="522" w:lineRule="exact"/>
        <w:rPr>
          <w:sz w:val="20"/>
          <w:szCs w:val="20"/>
          <w:color w:val="auto"/>
        </w:rPr>
      </w:pPr>
      <w:r>
        <w:rPr>
          <w:rFonts w:ascii="宋体" w:cs="宋体" w:eastAsia="宋体" w:hAnsi="宋体"/>
          <w:sz w:val="31"/>
          <w:szCs w:val="31"/>
          <w:color w:val="auto"/>
        </w:rPr>
        <w:t>（三）除委托人、资产评估委托合同中约定的其他资产评估报告使用人和法律、行政法规规定的资产评估报告使用人之外，其他任何机构和个人不能成为资产评估报告的使用人；</w:t>
      </w:r>
    </w:p>
    <w:p>
      <w:pPr>
        <w:spacing w:after="0" w:line="307" w:lineRule="exact"/>
        <w:rPr>
          <w:sz w:val="20"/>
          <w:szCs w:val="20"/>
          <w:color w:val="auto"/>
        </w:rPr>
      </w:pPr>
    </w:p>
    <w:p>
      <w:pPr>
        <w:jc w:val="both"/>
        <w:ind w:left="260" w:right="126" w:firstLine="641"/>
        <w:spacing w:after="0" w:line="522" w:lineRule="exact"/>
        <w:rPr>
          <w:sz w:val="20"/>
          <w:szCs w:val="20"/>
          <w:color w:val="auto"/>
        </w:rPr>
      </w:pPr>
      <w:r>
        <w:rPr>
          <w:rFonts w:ascii="宋体" w:cs="宋体" w:eastAsia="宋体" w:hAnsi="宋体"/>
          <w:sz w:val="32"/>
          <w:szCs w:val="32"/>
          <w:color w:val="auto"/>
        </w:rPr>
        <w:t>（四）资产评估报告使用人应当正确理解评估结论，评估结论不等同于评估对象可实现价格，评估结论不应当被认为是对评估对象可实现价格的保证。</w:t>
      </w:r>
    </w:p>
    <w:p>
      <w:pPr>
        <w:spacing w:after="0" w:line="260"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第二十五条</w:t>
      </w:r>
      <w:r>
        <w:rPr>
          <w:sz w:val="20"/>
          <w:szCs w:val="20"/>
          <w:color w:val="auto"/>
        </w:rPr>
        <w:tab/>
      </w:r>
      <w:r>
        <w:rPr>
          <w:rFonts w:ascii="宋体" w:cs="宋体" w:eastAsia="宋体" w:hAnsi="宋体"/>
          <w:sz w:val="32"/>
          <w:szCs w:val="32"/>
          <w:color w:val="auto"/>
        </w:rPr>
        <w:t>资产评估报告应当载明资产评估报告日。</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资产评估报告日通常为评估结论形成的日期，可以不同于</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资产评估报告的签发日。</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第二十六条</w:t>
      </w:r>
      <w:r>
        <w:rPr>
          <w:sz w:val="20"/>
          <w:szCs w:val="20"/>
          <w:color w:val="auto"/>
        </w:rPr>
        <w:tab/>
      </w:r>
      <w:r>
        <w:rPr>
          <w:rFonts w:ascii="宋体" w:cs="宋体" w:eastAsia="宋体" w:hAnsi="宋体"/>
          <w:sz w:val="32"/>
          <w:szCs w:val="32"/>
          <w:color w:val="auto"/>
        </w:rPr>
        <w:t>资产评估报告正文应当由至少两名承办该</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评估业务的资产评估师签名，并加盖资产评估机构印章。</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声明、摘要和评估明细表上通常不需要另行签名盖章。</w:t>
      </w:r>
    </w:p>
    <w:p>
      <w:pPr>
        <w:spacing w:after="0" w:line="200" w:lineRule="exact"/>
        <w:rPr>
          <w:sz w:val="20"/>
          <w:szCs w:val="20"/>
          <w:color w:val="auto"/>
        </w:rPr>
      </w:pPr>
    </w:p>
    <w:p>
      <w:pPr>
        <w:spacing w:after="0" w:line="215" w:lineRule="exact"/>
        <w:rPr>
          <w:sz w:val="20"/>
          <w:szCs w:val="20"/>
          <w:color w:val="auto"/>
        </w:rPr>
      </w:pPr>
    </w:p>
    <w:p>
      <w:pPr>
        <w:jc w:val="center"/>
        <w:ind w:right="-153"/>
        <w:spacing w:after="0" w:line="366" w:lineRule="exact"/>
        <w:tabs>
          <w:tab w:leader="none" w:pos="280" w:val="left"/>
        </w:tabs>
        <w:rPr>
          <w:sz w:val="20"/>
          <w:szCs w:val="20"/>
          <w:color w:val="auto"/>
        </w:rPr>
      </w:pPr>
      <w:r>
        <w:rPr>
          <w:rFonts w:ascii="宋体" w:cs="宋体" w:eastAsia="宋体" w:hAnsi="宋体"/>
          <w:sz w:val="32"/>
          <w:szCs w:val="32"/>
          <w:color w:val="auto"/>
        </w:rPr>
        <w:t>第四章</w:t>
      </w:r>
      <w:r>
        <w:rPr>
          <w:sz w:val="20"/>
          <w:szCs w:val="20"/>
          <w:color w:val="auto"/>
        </w:rPr>
        <w:tab/>
      </w:r>
      <w:r>
        <w:rPr>
          <w:rFonts w:ascii="宋体" w:cs="宋体" w:eastAsia="宋体" w:hAnsi="宋体"/>
          <w:sz w:val="31"/>
          <w:szCs w:val="31"/>
          <w:color w:val="auto"/>
        </w:rPr>
        <w:t>附件</w:t>
      </w:r>
    </w:p>
    <w:p>
      <w:pPr>
        <w:spacing w:after="0" w:line="200" w:lineRule="exact"/>
        <w:rPr>
          <w:sz w:val="20"/>
          <w:szCs w:val="20"/>
          <w:color w:val="auto"/>
        </w:rPr>
      </w:pPr>
    </w:p>
    <w:p>
      <w:pPr>
        <w:spacing w:after="0" w:line="226" w:lineRule="exact"/>
        <w:rPr>
          <w:sz w:val="20"/>
          <w:szCs w:val="20"/>
          <w:color w:val="auto"/>
        </w:rPr>
      </w:pPr>
    </w:p>
    <w:p>
      <w:pPr>
        <w:ind w:left="900"/>
        <w:spacing w:after="0" w:line="354" w:lineRule="exact"/>
        <w:tabs>
          <w:tab w:leader="none" w:pos="2820" w:val="left"/>
        </w:tabs>
        <w:rPr>
          <w:sz w:val="20"/>
          <w:szCs w:val="20"/>
          <w:color w:val="auto"/>
        </w:rPr>
      </w:pPr>
      <w:r>
        <w:rPr>
          <w:rFonts w:ascii="宋体" w:cs="宋体" w:eastAsia="宋体" w:hAnsi="宋体"/>
          <w:sz w:val="31"/>
          <w:szCs w:val="31"/>
          <w:b w:val="1"/>
          <w:bCs w:val="1"/>
          <w:color w:val="auto"/>
        </w:rPr>
        <w:t>第二十七条</w:t>
      </w:r>
      <w:r>
        <w:rPr>
          <w:sz w:val="20"/>
          <w:szCs w:val="20"/>
          <w:color w:val="auto"/>
        </w:rPr>
        <w:tab/>
      </w:r>
      <w:r>
        <w:rPr>
          <w:rFonts w:ascii="宋体" w:cs="宋体" w:eastAsia="宋体" w:hAnsi="宋体"/>
          <w:sz w:val="31"/>
          <w:szCs w:val="31"/>
          <w:color w:val="auto"/>
        </w:rPr>
        <w:t>资产评估报告附件内容应当与评估目的、评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估方法、评估结论相关联，通常包括下列内容：</w:t>
      </w:r>
    </w:p>
    <w:p>
      <w:pPr>
        <w:sectPr>
          <w:pgSz w:w="11900" w:h="16838" w:orient="portrait"/>
          <w:cols w:equalWidth="0" w:num="1">
            <w:col w:w="9026"/>
          </w:cols>
          <w:pgMar w:left="1440" w:top="1440" w:right="1440" w:bottom="688" w:gutter="0" w:footer="0" w:header="0"/>
        </w:sectPr>
      </w:pPr>
    </w:p>
    <w:bookmarkStart w:id="10" w:name="page11"/>
    <w:bookmarkEnd w:id="10"/>
    <w:p>
      <w:pPr>
        <w:spacing w:after="0" w:line="366"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（一）与评估目的相对应的经济行为文件；</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（二）被评估单位专项审计报告；</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（三）委托人和被评估单位法人营业执照；</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（四）委托人和被评估单位产权登记证；</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（五）评估对象涉及的主要权属证明资料；</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（六）委托人和其他相关当事人的承诺函；</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（七）签名资产评估师的承诺函；</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（八）资产评估机构备案文件或者资格证明文件；</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（九）资产评估机构法人营业执照副本；</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（十）负责该评估业务的资产评估师资格证明文件；</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（十一）资产评估委托合同；</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（十二）其他重要文件。</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第二十八条</w:t>
      </w:r>
      <w:r>
        <w:rPr>
          <w:sz w:val="20"/>
          <w:szCs w:val="20"/>
          <w:color w:val="auto"/>
        </w:rPr>
        <w:tab/>
      </w:r>
      <w:r>
        <w:rPr>
          <w:rFonts w:ascii="宋体" w:cs="宋体" w:eastAsia="宋体" w:hAnsi="宋体"/>
          <w:sz w:val="32"/>
          <w:szCs w:val="32"/>
          <w:color w:val="auto"/>
        </w:rPr>
        <w:t>资产评估报告附件内容及其所涉及的签章</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应当清晰、完整，相关内容应当与资产评估报告摘要、正文一</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致。资产评估报告附件为复印件的，应当与原件一致。</w:t>
      </w:r>
    </w:p>
    <w:p>
      <w:pPr>
        <w:spacing w:after="0" w:line="270" w:lineRule="exact"/>
        <w:rPr>
          <w:sz w:val="20"/>
          <w:szCs w:val="20"/>
          <w:color w:val="auto"/>
        </w:rPr>
      </w:pPr>
    </w:p>
    <w:p>
      <w:pPr>
        <w:ind w:left="900"/>
        <w:spacing w:after="0" w:line="354" w:lineRule="exact"/>
        <w:tabs>
          <w:tab w:leader="none" w:pos="2820" w:val="left"/>
        </w:tabs>
        <w:rPr>
          <w:sz w:val="20"/>
          <w:szCs w:val="20"/>
          <w:color w:val="auto"/>
        </w:rPr>
      </w:pPr>
      <w:r>
        <w:rPr>
          <w:rFonts w:ascii="宋体" w:cs="宋体" w:eastAsia="宋体" w:hAnsi="宋体"/>
          <w:sz w:val="31"/>
          <w:szCs w:val="31"/>
          <w:b w:val="1"/>
          <w:bCs w:val="1"/>
          <w:color w:val="auto"/>
        </w:rPr>
        <w:t>第二十九条</w:t>
      </w:r>
      <w:r>
        <w:rPr>
          <w:sz w:val="20"/>
          <w:szCs w:val="20"/>
          <w:color w:val="auto"/>
        </w:rPr>
        <w:tab/>
      </w:r>
      <w:r>
        <w:rPr>
          <w:rFonts w:ascii="宋体" w:cs="宋体" w:eastAsia="宋体" w:hAnsi="宋体"/>
          <w:sz w:val="31"/>
          <w:szCs w:val="31"/>
          <w:color w:val="auto"/>
        </w:rPr>
        <w:t>按照法律、行政法规规定需要进行专项审计</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的，应当将企业提供的与经济行为相对应的评估基准日专项审</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计报告（含会计报表和附注）作为资产评估报告附件。按有关</w:t>
      </w:r>
    </w:p>
    <w:p>
      <w:pPr>
        <w:spacing w:after="0" w:line="271"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规定无需进行专项审计的，应当将企业确认的与经济行为相对</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应的评估基准日企业财务报表作为资产评估报告附件。</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如果引用其他机构出具的报告结论，根据现行有关规定，</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所引用的报告应当经相应主管部门批准（备案）的，应当将相</w:t>
      </w:r>
    </w:p>
    <w:p>
      <w:pPr>
        <w:sectPr>
          <w:pgSz w:w="11900" w:h="16838" w:orient="portrait"/>
          <w:cols w:equalWidth="0" w:num="1">
            <w:col w:w="9026"/>
          </w:cols>
          <w:pgMar w:left="1440" w:top="1440" w:right="1440" w:bottom="998" w:gutter="0" w:footer="0" w:header="0"/>
        </w:sectPr>
      </w:pPr>
    </w:p>
    <w:bookmarkStart w:id="11" w:name="page12"/>
    <w:bookmarkEnd w:id="11"/>
    <w:p>
      <w:pPr>
        <w:spacing w:after="0" w:line="389" w:lineRule="exact"/>
        <w:rPr>
          <w:sz w:val="20"/>
          <w:szCs w:val="20"/>
          <w:color w:val="auto"/>
        </w:rPr>
      </w:pPr>
    </w:p>
    <w:p>
      <w:pPr>
        <w:ind w:left="260"/>
        <w:spacing w:after="0" w:line="343" w:lineRule="exact"/>
        <w:rPr>
          <w:sz w:val="20"/>
          <w:szCs w:val="20"/>
          <w:color w:val="auto"/>
        </w:rPr>
      </w:pPr>
      <w:r>
        <w:rPr>
          <w:rFonts w:ascii="宋体" w:cs="宋体" w:eastAsia="宋体" w:hAnsi="宋体"/>
          <w:sz w:val="30"/>
          <w:szCs w:val="30"/>
          <w:color w:val="auto"/>
        </w:rPr>
        <w:t>应主管部门的相关批准（备案）文件作为资产评估报告的附件。</w:t>
      </w:r>
    </w:p>
    <w:p>
      <w:pPr>
        <w:spacing w:after="0" w:line="200" w:lineRule="exact"/>
        <w:rPr>
          <w:sz w:val="20"/>
          <w:szCs w:val="20"/>
          <w:color w:val="auto"/>
        </w:rPr>
      </w:pPr>
    </w:p>
    <w:p>
      <w:pPr>
        <w:spacing w:after="0" w:line="215" w:lineRule="exact"/>
        <w:rPr>
          <w:sz w:val="20"/>
          <w:szCs w:val="20"/>
          <w:color w:val="auto"/>
        </w:rPr>
      </w:pPr>
    </w:p>
    <w:p>
      <w:pPr>
        <w:jc w:val="center"/>
        <w:ind w:right="-153"/>
        <w:spacing w:after="0" w:line="366" w:lineRule="exact"/>
        <w:tabs>
          <w:tab w:leader="none" w:pos="280" w:val="left"/>
        </w:tabs>
        <w:rPr>
          <w:sz w:val="20"/>
          <w:szCs w:val="20"/>
          <w:color w:val="auto"/>
        </w:rPr>
      </w:pPr>
      <w:r>
        <w:rPr>
          <w:rFonts w:ascii="宋体" w:cs="宋体" w:eastAsia="宋体" w:hAnsi="宋体"/>
          <w:sz w:val="32"/>
          <w:szCs w:val="32"/>
          <w:color w:val="auto"/>
        </w:rPr>
        <w:t>第五章</w:t>
      </w:r>
      <w:r>
        <w:rPr>
          <w:sz w:val="20"/>
          <w:szCs w:val="20"/>
          <w:color w:val="auto"/>
        </w:rPr>
        <w:tab/>
      </w:r>
      <w:r>
        <w:rPr>
          <w:rFonts w:ascii="宋体" w:cs="宋体" w:eastAsia="宋体" w:hAnsi="宋体"/>
          <w:sz w:val="31"/>
          <w:szCs w:val="31"/>
          <w:color w:val="auto"/>
        </w:rPr>
        <w:t>评估明细表</w:t>
      </w:r>
    </w:p>
    <w:p>
      <w:pPr>
        <w:spacing w:after="0" w:line="200" w:lineRule="exact"/>
        <w:rPr>
          <w:sz w:val="20"/>
          <w:szCs w:val="20"/>
          <w:color w:val="auto"/>
        </w:rPr>
      </w:pPr>
    </w:p>
    <w:p>
      <w:pPr>
        <w:spacing w:after="0" w:line="215"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第三十条</w:t>
      </w:r>
      <w:r>
        <w:rPr>
          <w:sz w:val="20"/>
          <w:szCs w:val="20"/>
          <w:color w:val="auto"/>
        </w:rPr>
        <w:tab/>
      </w:r>
      <w:r>
        <w:rPr>
          <w:rFonts w:ascii="宋体" w:cs="宋体" w:eastAsia="宋体" w:hAnsi="宋体"/>
          <w:sz w:val="32"/>
          <w:szCs w:val="32"/>
          <w:color w:val="auto"/>
        </w:rPr>
        <w:t>评估明细表可以根据本指南的基本要求和企</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业会计核算所设置的会计科目，结合评估方法特点进行编制。</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（一）单项资产或者资产组合评估、采用资产基础法进行</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企业价值评估，评估明细表包括按会计科目设置的资产、负债</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评估明细表和各级汇总表；</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（二）采用收益法进行企业价值评估，可以根据收益法评</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估参数和盈利预测项目的构成等具体情况设计评估明细表的格</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式和内容；</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（三）采用市场法进行企业价值评估，可以根据评估技术</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说明的详略程度决定是否单独编制符合市场法特点的评估明细</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表。</w:t>
      </w:r>
    </w:p>
    <w:p>
      <w:pPr>
        <w:spacing w:after="0" w:line="270" w:lineRule="exact"/>
        <w:rPr>
          <w:sz w:val="20"/>
          <w:szCs w:val="20"/>
          <w:color w:val="auto"/>
        </w:rPr>
      </w:pPr>
    </w:p>
    <w:p>
      <w:pPr>
        <w:ind w:left="900"/>
        <w:spacing w:after="0" w:line="354" w:lineRule="exact"/>
        <w:tabs>
          <w:tab w:leader="none" w:pos="2820" w:val="left"/>
        </w:tabs>
        <w:rPr>
          <w:sz w:val="20"/>
          <w:szCs w:val="20"/>
          <w:color w:val="auto"/>
        </w:rPr>
      </w:pPr>
      <w:r>
        <w:rPr>
          <w:rFonts w:ascii="宋体" w:cs="宋体" w:eastAsia="宋体" w:hAnsi="宋体"/>
          <w:sz w:val="31"/>
          <w:szCs w:val="31"/>
          <w:b w:val="1"/>
          <w:bCs w:val="1"/>
          <w:color w:val="auto"/>
        </w:rPr>
        <w:t>第三十一条</w:t>
      </w:r>
      <w:r>
        <w:rPr>
          <w:sz w:val="20"/>
          <w:szCs w:val="20"/>
          <w:color w:val="auto"/>
        </w:rPr>
        <w:tab/>
      </w:r>
      <w:r>
        <w:rPr>
          <w:rFonts w:ascii="宋体" w:cs="宋体" w:eastAsia="宋体" w:hAnsi="宋体"/>
          <w:sz w:val="31"/>
          <w:szCs w:val="31"/>
          <w:color w:val="auto"/>
        </w:rPr>
        <w:t>资产、负债会计科目的评估明细表格式和内</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容基本要求如下：</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（一）表头应当含有资产或负债类型（会计科目）名称、</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被评估单位、评估基准日、表号、金额单位、页码。</w:t>
      </w:r>
    </w:p>
    <w:p>
      <w:pPr>
        <w:spacing w:after="0" w:line="282" w:lineRule="exact"/>
        <w:rPr>
          <w:sz w:val="20"/>
          <w:szCs w:val="20"/>
          <w:color w:val="auto"/>
        </w:rPr>
      </w:pPr>
    </w:p>
    <w:p>
      <w:pPr>
        <w:ind w:left="900"/>
        <w:spacing w:after="0" w:line="343" w:lineRule="exact"/>
        <w:rPr>
          <w:sz w:val="20"/>
          <w:szCs w:val="20"/>
          <w:color w:val="auto"/>
        </w:rPr>
      </w:pPr>
      <w:r>
        <w:rPr>
          <w:rFonts w:ascii="宋体" w:cs="宋体" w:eastAsia="宋体" w:hAnsi="宋体"/>
          <w:sz w:val="30"/>
          <w:szCs w:val="30"/>
          <w:color w:val="auto"/>
        </w:rPr>
        <w:t>（二）表中应当含有资产负债的名称（明细）、经营业务或</w:t>
      </w:r>
    </w:p>
    <w:p>
      <w:pPr>
        <w:spacing w:after="0" w:line="282" w:lineRule="exact"/>
        <w:rPr>
          <w:sz w:val="20"/>
          <w:szCs w:val="20"/>
          <w:color w:val="auto"/>
        </w:rPr>
      </w:pPr>
    </w:p>
    <w:p>
      <w:pPr>
        <w:ind w:left="260"/>
        <w:spacing w:after="0" w:line="343" w:lineRule="exact"/>
        <w:rPr>
          <w:sz w:val="20"/>
          <w:szCs w:val="20"/>
          <w:color w:val="auto"/>
        </w:rPr>
      </w:pPr>
      <w:r>
        <w:rPr>
          <w:rFonts w:ascii="宋体" w:cs="宋体" w:eastAsia="宋体" w:hAnsi="宋体"/>
          <w:sz w:val="30"/>
          <w:szCs w:val="30"/>
          <w:color w:val="auto"/>
        </w:rPr>
        <w:t>者事项内容、技术参数、发生（购、建、创）日期、账面价值、</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评估价值、评估增减幅度等基本内容。必要时，在备注栏对技</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术参数或者经营业务、事项情况进行注释。</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（三）表尾应当标明被评估单位填表人员、填表日期和评</w:t>
      </w:r>
    </w:p>
    <w:p>
      <w:pPr>
        <w:sectPr>
          <w:pgSz w:w="11900" w:h="16838" w:orient="portrait"/>
          <w:cols w:equalWidth="0" w:num="1">
            <w:col w:w="9026"/>
          </w:cols>
          <w:pgMar w:left="1440" w:top="1440" w:right="1440" w:bottom="686" w:gutter="0" w:footer="0" w:header="0"/>
        </w:sectPr>
      </w:pPr>
    </w:p>
    <w:bookmarkStart w:id="12" w:name="page13"/>
    <w:bookmarkEnd w:id="12"/>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估人员。</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（四）评估明细表按会计明细科目、一级科目逐级汇总，</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并编制资产负债表（方式）的评估汇总表及以人民币万元为金</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额单位的评估结果汇总表。</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（五）会计计提的减值准备在相应会计科目（资产负债类</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型）合计项下和相关科目汇总表中列示。</w:t>
      </w:r>
    </w:p>
    <w:p>
      <w:pPr>
        <w:spacing w:after="0" w:line="271"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（六）评估结果汇总表应当按以下顺序和项目内容列示：</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流动资产、非流动资产、资产总计、流动负债、非流动负债、</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负债总计、净资产等类别和项目。</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第三十二条</w:t>
      </w:r>
      <w:r>
        <w:rPr>
          <w:sz w:val="20"/>
          <w:szCs w:val="20"/>
          <w:color w:val="auto"/>
        </w:rPr>
        <w:tab/>
      </w:r>
      <w:r>
        <w:rPr>
          <w:rFonts w:ascii="宋体" w:cs="宋体" w:eastAsia="宋体" w:hAnsi="宋体"/>
          <w:sz w:val="32"/>
          <w:szCs w:val="32"/>
          <w:color w:val="auto"/>
        </w:rPr>
        <w:t>采用收益法中的现金流量折现法进行企业</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价值评估，评估明细表通常包括以下内容：</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（一）资产负债、利润调整表（如果有调整时）；</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（二）现金流量测算表；</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（三）营业收入预测表；</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（四）营业成本预测表；</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（五）营业税金及附加预测表；</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（六）销售费用预测表；</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（七）管理费用预测表；</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（八）财务费用预测表；</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（九）营运资金预测表；</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（十）折旧摊销预测表；</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（十一）资本性支出预测表；</w:t>
      </w:r>
    </w:p>
    <w:p>
      <w:pPr>
        <w:sectPr>
          <w:pgSz w:w="11900" w:h="16838" w:orient="portrait"/>
          <w:cols w:equalWidth="0" w:num="1">
            <w:col w:w="9026"/>
          </w:cols>
          <w:pgMar w:left="1440" w:top="1440" w:right="1440" w:bottom="998" w:gutter="0" w:footer="0" w:header="0"/>
        </w:sectPr>
      </w:pPr>
    </w:p>
    <w:bookmarkStart w:id="13" w:name="page14"/>
    <w:bookmarkEnd w:id="13"/>
    <w:p>
      <w:pPr>
        <w:spacing w:after="0" w:line="366"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（十二）折现率计算表；</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（十三）溢余资产和非经营性资产分析表。</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第三十三条</w:t>
      </w:r>
      <w:r>
        <w:rPr>
          <w:sz w:val="20"/>
          <w:szCs w:val="20"/>
          <w:color w:val="auto"/>
        </w:rPr>
        <w:tab/>
      </w:r>
      <w:r>
        <w:rPr>
          <w:rFonts w:ascii="宋体" w:cs="宋体" w:eastAsia="宋体" w:hAnsi="宋体"/>
          <w:sz w:val="32"/>
          <w:szCs w:val="32"/>
          <w:color w:val="auto"/>
        </w:rPr>
        <w:t>收益法评估明细表表头应当含有评估参数</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或者预测项目名称、被评估单位、评估基准日、表号、金额单</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位等。</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第三十四条</w:t>
      </w:r>
      <w:r>
        <w:rPr>
          <w:sz w:val="20"/>
          <w:szCs w:val="20"/>
          <w:color w:val="auto"/>
        </w:rPr>
        <w:tab/>
      </w:r>
      <w:r>
        <w:rPr>
          <w:rFonts w:ascii="宋体" w:cs="宋体" w:eastAsia="宋体" w:hAnsi="宋体"/>
          <w:sz w:val="32"/>
          <w:szCs w:val="32"/>
          <w:color w:val="auto"/>
        </w:rPr>
        <w:t>被评估单位为两家以上的，评估明细表应当</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按被评估单位分别归集，自成体系。</w:t>
      </w:r>
    </w:p>
    <w:p>
      <w:pPr>
        <w:spacing w:after="0" w:line="200" w:lineRule="exact"/>
        <w:rPr>
          <w:sz w:val="20"/>
          <w:szCs w:val="20"/>
          <w:color w:val="auto"/>
        </w:rPr>
      </w:pPr>
    </w:p>
    <w:p>
      <w:pPr>
        <w:spacing w:after="0" w:line="215" w:lineRule="exact"/>
        <w:rPr>
          <w:sz w:val="20"/>
          <w:szCs w:val="20"/>
          <w:color w:val="auto"/>
        </w:rPr>
      </w:pPr>
    </w:p>
    <w:p>
      <w:pPr>
        <w:jc w:val="center"/>
        <w:ind w:right="-119"/>
        <w:spacing w:after="0" w:line="366" w:lineRule="exact"/>
        <w:tabs>
          <w:tab w:leader="none" w:pos="280" w:val="left"/>
        </w:tabs>
        <w:rPr>
          <w:sz w:val="20"/>
          <w:szCs w:val="20"/>
          <w:color w:val="auto"/>
        </w:rPr>
      </w:pPr>
      <w:r>
        <w:rPr>
          <w:rFonts w:ascii="宋体" w:cs="宋体" w:eastAsia="宋体" w:hAnsi="宋体"/>
          <w:sz w:val="32"/>
          <w:szCs w:val="32"/>
          <w:color w:val="auto"/>
        </w:rPr>
        <w:t>第六章</w:t>
      </w:r>
      <w:r>
        <w:rPr>
          <w:sz w:val="20"/>
          <w:szCs w:val="20"/>
          <w:color w:val="auto"/>
        </w:rPr>
        <w:tab/>
      </w:r>
      <w:r>
        <w:rPr>
          <w:rFonts w:ascii="宋体" w:cs="宋体" w:eastAsia="宋体" w:hAnsi="宋体"/>
          <w:sz w:val="31"/>
          <w:szCs w:val="31"/>
          <w:color w:val="auto"/>
        </w:rPr>
        <w:t>评估说明</w:t>
      </w:r>
    </w:p>
    <w:p>
      <w:pPr>
        <w:spacing w:after="0" w:line="200" w:lineRule="exact"/>
        <w:rPr>
          <w:sz w:val="20"/>
          <w:szCs w:val="20"/>
          <w:color w:val="auto"/>
        </w:rPr>
      </w:pPr>
    </w:p>
    <w:p>
      <w:pPr>
        <w:spacing w:after="0" w:line="215"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第三十五条</w:t>
      </w:r>
      <w:r>
        <w:rPr>
          <w:sz w:val="20"/>
          <w:szCs w:val="20"/>
          <w:color w:val="auto"/>
        </w:rPr>
        <w:tab/>
      </w:r>
      <w:r>
        <w:rPr>
          <w:rFonts w:ascii="宋体" w:cs="宋体" w:eastAsia="宋体" w:hAnsi="宋体"/>
          <w:sz w:val="32"/>
          <w:szCs w:val="32"/>
          <w:color w:val="auto"/>
        </w:rPr>
        <w:t>评估说明包括评估说明使用范围声明、委托</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人和被评估单位编写的《企业关于进行资产评估有关事项的说</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明》和资产评估师编写的《资产评估说明》。</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第三十六条</w:t>
      </w:r>
      <w:r>
        <w:rPr>
          <w:sz w:val="20"/>
          <w:szCs w:val="20"/>
          <w:color w:val="auto"/>
        </w:rPr>
        <w:tab/>
      </w:r>
      <w:r>
        <w:rPr>
          <w:rFonts w:ascii="宋体" w:cs="宋体" w:eastAsia="宋体" w:hAnsi="宋体"/>
          <w:sz w:val="32"/>
          <w:szCs w:val="32"/>
          <w:color w:val="auto"/>
        </w:rPr>
        <w:t>关于评估说明使用范围的声明，应当写明评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估说明使用单位或部门的范围及限制条款。</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第三十七条</w:t>
      </w:r>
      <w:r>
        <w:rPr>
          <w:sz w:val="20"/>
          <w:szCs w:val="20"/>
          <w:color w:val="auto"/>
        </w:rPr>
        <w:tab/>
      </w:r>
      <w:r>
        <w:rPr>
          <w:rFonts w:ascii="宋体" w:cs="宋体" w:eastAsia="宋体" w:hAnsi="宋体"/>
          <w:sz w:val="32"/>
          <w:szCs w:val="32"/>
          <w:color w:val="auto"/>
        </w:rPr>
        <w:t>委托人和被评估单位可以共同编写或者分</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别编写《企业关于进行资产评估有关事项的说明》。委托人单位</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负责人和被评估单位负责人应当对所编写的说明签名，加盖相</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应单位公章并签署日期。</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《企业关于进行资产评估有关事项的说明》包括以下内容：</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（一）委托人、被评估单位各自概况；</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（二）关于经济行为的说明；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（三）关于评估对象与评估范围的说明；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（四）关于评估基准日的说明；</w:t>
      </w:r>
    </w:p>
    <w:p>
      <w:pPr>
        <w:sectPr>
          <w:pgSz w:w="11900" w:h="16838" w:orient="portrait"/>
          <w:cols w:equalWidth="0" w:num="1">
            <w:col w:w="9060"/>
          </w:cols>
          <w:pgMar w:left="1440" w:top="1440" w:right="1406" w:bottom="686" w:gutter="0" w:footer="0" w:header="0"/>
        </w:sectPr>
      </w:pPr>
    </w:p>
    <w:bookmarkStart w:id="14" w:name="page15"/>
    <w:bookmarkEnd w:id="14"/>
    <w:p>
      <w:pPr>
        <w:spacing w:after="0" w:line="366"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（五）可能影响评估工作的重大事项说明；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（六）资产负债情况、未来经营和收益状况预测说明；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（七）资料清单。</w:t>
      </w:r>
    </w:p>
    <w:p>
      <w:pPr>
        <w:spacing w:after="0" w:line="259" w:lineRule="exact"/>
        <w:rPr>
          <w:sz w:val="20"/>
          <w:szCs w:val="20"/>
          <w:color w:val="auto"/>
        </w:rPr>
      </w:pPr>
    </w:p>
    <w:p>
      <w:pPr>
        <w:ind w:left="900"/>
        <w:spacing w:after="0" w:line="366" w:lineRule="exact"/>
        <w:tabs>
          <w:tab w:leader="none" w:pos="2840" w:val="left"/>
        </w:tabs>
        <w:rPr>
          <w:sz w:val="20"/>
          <w:szCs w:val="20"/>
          <w:color w:val="auto"/>
        </w:rPr>
      </w:pPr>
      <w:r>
        <w:rPr>
          <w:rFonts w:ascii="宋体" w:cs="宋体" w:eastAsia="宋体" w:hAnsi="宋体"/>
          <w:sz w:val="32"/>
          <w:szCs w:val="32"/>
          <w:b w:val="1"/>
          <w:bCs w:val="1"/>
          <w:color w:val="auto"/>
        </w:rPr>
        <w:t>第三十八条</w:t>
      </w:r>
      <w:r>
        <w:rPr>
          <w:sz w:val="20"/>
          <w:szCs w:val="20"/>
          <w:color w:val="auto"/>
        </w:rPr>
        <w:tab/>
      </w:r>
      <w:r>
        <w:rPr>
          <w:rFonts w:ascii="宋体" w:cs="宋体" w:eastAsia="宋体" w:hAnsi="宋体"/>
          <w:sz w:val="32"/>
          <w:szCs w:val="32"/>
          <w:color w:val="auto"/>
        </w:rPr>
        <w:t>《资产评估说明》是对评估对象进行核实、</w:t>
      </w:r>
    </w:p>
    <w:p>
      <w:pPr>
        <w:spacing w:after="0" w:line="270" w:lineRule="exact"/>
        <w:rPr>
          <w:sz w:val="20"/>
          <w:szCs w:val="20"/>
          <w:color w:val="auto"/>
        </w:rPr>
      </w:pPr>
    </w:p>
    <w:p>
      <w:pPr>
        <w:jc w:val="center"/>
        <w:ind w:right="2460"/>
        <w:spacing w:after="0" w:line="354" w:lineRule="exact"/>
        <w:rPr>
          <w:sz w:val="20"/>
          <w:szCs w:val="20"/>
          <w:color w:val="auto"/>
        </w:rPr>
      </w:pPr>
      <w:r>
        <w:rPr>
          <w:rFonts w:ascii="宋体" w:cs="宋体" w:eastAsia="宋体" w:hAnsi="宋体"/>
          <w:sz w:val="31"/>
          <w:szCs w:val="31"/>
          <w:color w:val="auto"/>
        </w:rPr>
        <w:t>评定估算的详细说明，应当包括以下内容：</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（一）评估对象与评估范围说明；</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（二）资产核实总体情况说明；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（三）评估技术说明；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（四）评估结论及分析。</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第三十九条</w:t>
      </w:r>
      <w:r>
        <w:rPr>
          <w:sz w:val="20"/>
          <w:szCs w:val="20"/>
          <w:color w:val="auto"/>
        </w:rPr>
        <w:tab/>
      </w:r>
      <w:r>
        <w:rPr>
          <w:rFonts w:ascii="宋体" w:cs="宋体" w:eastAsia="宋体" w:hAnsi="宋体"/>
          <w:sz w:val="32"/>
          <w:szCs w:val="32"/>
          <w:color w:val="auto"/>
        </w:rPr>
        <w:t>评估对象与评估范围说明应当根据企业价</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值评估、单项资产或者资产组合评估的不同情况确定内容的详</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略程度。</w:t>
      </w:r>
    </w:p>
    <w:p>
      <w:pPr>
        <w:spacing w:after="0" w:line="259" w:lineRule="exact"/>
        <w:rPr>
          <w:sz w:val="20"/>
          <w:szCs w:val="20"/>
          <w:color w:val="auto"/>
        </w:rPr>
      </w:pPr>
    </w:p>
    <w:p>
      <w:pPr>
        <w:ind w:left="900"/>
        <w:spacing w:after="0" w:line="366" w:lineRule="exact"/>
        <w:tabs>
          <w:tab w:leader="none" w:pos="2500" w:val="left"/>
        </w:tabs>
        <w:rPr>
          <w:sz w:val="20"/>
          <w:szCs w:val="20"/>
          <w:color w:val="auto"/>
        </w:rPr>
      </w:pPr>
      <w:r>
        <w:rPr>
          <w:rFonts w:ascii="宋体" w:cs="宋体" w:eastAsia="宋体" w:hAnsi="宋体"/>
          <w:sz w:val="32"/>
          <w:szCs w:val="32"/>
          <w:b w:val="1"/>
          <w:bCs w:val="1"/>
          <w:color w:val="auto"/>
        </w:rPr>
        <w:t>第四十条</w:t>
      </w:r>
      <w:r>
        <w:rPr>
          <w:sz w:val="20"/>
          <w:szCs w:val="20"/>
          <w:color w:val="auto"/>
        </w:rPr>
        <w:tab/>
      </w:r>
      <w:r>
        <w:rPr>
          <w:rFonts w:ascii="宋体" w:cs="宋体" w:eastAsia="宋体" w:hAnsi="宋体"/>
          <w:sz w:val="32"/>
          <w:szCs w:val="32"/>
          <w:color w:val="auto"/>
        </w:rPr>
        <w:t>资产核实总体情况说明通常包括人员组织、实</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施时间、核实过程、影响事项及处理方法、核实结论。</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第四十一条</w:t>
      </w:r>
      <w:r>
        <w:rPr>
          <w:sz w:val="20"/>
          <w:szCs w:val="20"/>
          <w:color w:val="auto"/>
        </w:rPr>
        <w:tab/>
      </w:r>
      <w:r>
        <w:rPr>
          <w:rFonts w:ascii="宋体" w:cs="宋体" w:eastAsia="宋体" w:hAnsi="宋体"/>
          <w:sz w:val="32"/>
          <w:szCs w:val="32"/>
          <w:color w:val="auto"/>
        </w:rPr>
        <w:t>评估技术说明应当考虑不同经济行为和不</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同评估方法的特点介绍评定估算的思路及过程。</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第四十二条</w:t>
      </w:r>
      <w:r>
        <w:rPr>
          <w:sz w:val="20"/>
          <w:szCs w:val="20"/>
          <w:color w:val="auto"/>
        </w:rPr>
        <w:tab/>
      </w:r>
      <w:r>
        <w:rPr>
          <w:rFonts w:ascii="宋体" w:cs="宋体" w:eastAsia="宋体" w:hAnsi="宋体"/>
          <w:sz w:val="32"/>
          <w:szCs w:val="32"/>
          <w:color w:val="auto"/>
        </w:rPr>
        <w:t>采用成本法评估单项资产或者资产组合、采</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用资产基础法评估企业价值，应当根据评估业务的具体情况以</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及资产负债类型编写评估技术说明。各项资产负债评估技术说</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明应当包含资产负债的内容和金额、核实方法、评估值确定的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方法和结论等基本内容。</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第四十三条</w:t>
      </w:r>
      <w:r>
        <w:rPr>
          <w:sz w:val="20"/>
          <w:szCs w:val="20"/>
          <w:color w:val="auto"/>
        </w:rPr>
        <w:tab/>
      </w:r>
      <w:r>
        <w:rPr>
          <w:rFonts w:ascii="宋体" w:cs="宋体" w:eastAsia="宋体" w:hAnsi="宋体"/>
          <w:sz w:val="32"/>
          <w:szCs w:val="32"/>
          <w:color w:val="auto"/>
        </w:rPr>
        <w:t>采用收益法或者市场法评估企业价值，评估</w:t>
      </w:r>
    </w:p>
    <w:p>
      <w:pPr>
        <w:sectPr>
          <w:pgSz w:w="11900" w:h="16838" w:orient="portrait"/>
          <w:cols w:equalWidth="0" w:num="1">
            <w:col w:w="9060"/>
          </w:cols>
          <w:pgMar w:left="1440" w:top="1440" w:right="1406" w:bottom="998" w:gutter="0" w:footer="0" w:header="0"/>
        </w:sectPr>
      </w:pPr>
    </w:p>
    <w:bookmarkStart w:id="15" w:name="page16"/>
    <w:bookmarkEnd w:id="15"/>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技术说明通常包括以下内容：</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（一）影响企业经营的宏观、区域经济因素；</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（二）所在行业现状与发展前景；</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（三）企业的业务情况；</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（四）企业的资产、财务分析和调整情况；</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（五）评估方法的运用过程。</w:t>
      </w:r>
    </w:p>
    <w:p>
      <w:pPr>
        <w:spacing w:after="0" w:line="307" w:lineRule="exact"/>
        <w:rPr>
          <w:sz w:val="20"/>
          <w:szCs w:val="20"/>
          <w:color w:val="auto"/>
        </w:rPr>
      </w:pPr>
    </w:p>
    <w:p>
      <w:pPr>
        <w:jc w:val="both"/>
        <w:ind w:left="260" w:right="126" w:firstLine="643"/>
        <w:spacing w:after="0" w:line="546" w:lineRule="exact"/>
        <w:rPr>
          <w:sz w:val="20"/>
          <w:szCs w:val="20"/>
          <w:color w:val="auto"/>
        </w:rPr>
      </w:pPr>
      <w:r>
        <w:rPr>
          <w:rFonts w:ascii="宋体" w:cs="宋体" w:eastAsia="宋体" w:hAnsi="宋体"/>
          <w:sz w:val="32"/>
          <w:szCs w:val="32"/>
          <w:b w:val="1"/>
          <w:bCs w:val="1"/>
          <w:color w:val="auto"/>
        </w:rPr>
        <w:t xml:space="preserve">第四十四条 </w:t>
      </w:r>
      <w:r>
        <w:rPr>
          <w:rFonts w:ascii="宋体" w:cs="宋体" w:eastAsia="宋体" w:hAnsi="宋体"/>
          <w:sz w:val="32"/>
          <w:szCs w:val="32"/>
          <w:color w:val="auto"/>
        </w:rPr>
        <w:t>采用收益法进行企业价值评估，应当根据行业特点、企业经营方式和所确定的预期收益口径以及评估的其他具体情况等编写评估技术说明。企业的资产、财务分析和调整情况以及评估方法运用过程说明通常包括以下内容：</w:t>
      </w:r>
    </w:p>
    <w:p>
      <w:pPr>
        <w:spacing w:after="0" w:line="264"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（一）收益法的应用前提及选择理由和依据；</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（二）收益预测的假设条件；</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（三）企业经营、资产、财务分析；</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（四）收益模型选择理由及基本参数说明；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（五）收益期限及预测期的说明；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（六）收益预测的说明；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（七）折现率的确定说明；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（八）预测期后价值确定说明；</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（九）其他资产和负债评估说明；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（十）评估价值。</w:t>
      </w:r>
    </w:p>
    <w:p>
      <w:pPr>
        <w:spacing w:after="0" w:line="270" w:lineRule="exact"/>
        <w:rPr>
          <w:sz w:val="20"/>
          <w:szCs w:val="20"/>
          <w:color w:val="auto"/>
        </w:rPr>
      </w:pPr>
    </w:p>
    <w:p>
      <w:pPr>
        <w:ind w:left="900"/>
        <w:spacing w:after="0" w:line="354" w:lineRule="exact"/>
        <w:tabs>
          <w:tab w:leader="none" w:pos="2820" w:val="left"/>
        </w:tabs>
        <w:rPr>
          <w:sz w:val="20"/>
          <w:szCs w:val="20"/>
          <w:color w:val="auto"/>
        </w:rPr>
      </w:pPr>
      <w:r>
        <w:rPr>
          <w:rFonts w:ascii="宋体" w:cs="宋体" w:eastAsia="宋体" w:hAnsi="宋体"/>
          <w:sz w:val="31"/>
          <w:szCs w:val="31"/>
          <w:b w:val="1"/>
          <w:bCs w:val="1"/>
          <w:color w:val="auto"/>
        </w:rPr>
        <w:t>第四十五条</w:t>
      </w:r>
      <w:r>
        <w:rPr>
          <w:sz w:val="20"/>
          <w:szCs w:val="20"/>
          <w:color w:val="auto"/>
        </w:rPr>
        <w:tab/>
      </w:r>
      <w:r>
        <w:rPr>
          <w:rFonts w:ascii="宋体" w:cs="宋体" w:eastAsia="宋体" w:hAnsi="宋体"/>
          <w:sz w:val="31"/>
          <w:szCs w:val="31"/>
          <w:color w:val="auto"/>
        </w:rPr>
        <w:t>采用市场法进行企业价值评估，应当根据行</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业特点、被评估单位实际情况以及上市公司比较法或者交易案</w:t>
      </w:r>
    </w:p>
    <w:p>
      <w:pPr>
        <w:sectPr>
          <w:pgSz w:w="11900" w:h="16838" w:orient="portrait"/>
          <w:cols w:equalWidth="0" w:num="1">
            <w:col w:w="9026"/>
          </w:cols>
          <w:pgMar w:left="1440" w:top="1440" w:right="1440" w:bottom="998" w:gutter="0" w:footer="0" w:header="0"/>
        </w:sectPr>
      </w:pPr>
    </w:p>
    <w:bookmarkStart w:id="16" w:name="page17"/>
    <w:bookmarkEnd w:id="16"/>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例比较法的特点等编写评估技术说明。企业的资产、财务分析</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和调整情况以及评估方法运用过程说明通常包括以下内容：</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（一）具体方法、应用前提及选择理由；</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（二）企业经营、资产、财务分析；</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（三）分析选取确定可比企业或者交易案例的说明；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（四）价值比率的选择及因素修正说明；</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（五）评估对象价值比率的测算说明；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（六）评估价值。</w:t>
      </w:r>
    </w:p>
    <w:p>
      <w:pPr>
        <w:spacing w:after="0" w:line="259"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第四十六条</w:t>
      </w:r>
      <w:r>
        <w:rPr>
          <w:sz w:val="20"/>
          <w:szCs w:val="20"/>
          <w:color w:val="auto"/>
        </w:rPr>
        <w:tab/>
      </w:r>
      <w:r>
        <w:rPr>
          <w:rFonts w:ascii="宋体" w:cs="宋体" w:eastAsia="宋体" w:hAnsi="宋体"/>
          <w:sz w:val="32"/>
          <w:szCs w:val="32"/>
          <w:color w:val="auto"/>
        </w:rPr>
        <w:t>评估结论及分析通常包括以下内容：</w:t>
      </w:r>
    </w:p>
    <w:p>
      <w:pPr>
        <w:spacing w:after="0" w:line="307" w:lineRule="exact"/>
        <w:rPr>
          <w:sz w:val="20"/>
          <w:szCs w:val="20"/>
          <w:color w:val="auto"/>
        </w:rPr>
      </w:pPr>
    </w:p>
    <w:p>
      <w:pPr>
        <w:jc w:val="both"/>
        <w:ind w:left="260" w:right="160" w:firstLine="641"/>
        <w:spacing w:after="0" w:line="522" w:lineRule="exact"/>
        <w:rPr>
          <w:sz w:val="20"/>
          <w:szCs w:val="20"/>
          <w:color w:val="auto"/>
        </w:rPr>
      </w:pPr>
      <w:r>
        <w:rPr>
          <w:rFonts w:ascii="宋体" w:cs="宋体" w:eastAsia="宋体" w:hAnsi="宋体"/>
          <w:sz w:val="32"/>
          <w:szCs w:val="32"/>
          <w:color w:val="auto"/>
        </w:rPr>
        <w:t>（一）评估结论，采用两种或两种以上方法进行企业价值评估，应当说明不同评估方法结果的差异及其原因和最终确定评估结论的理由；</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（二）评估价值与账面价值比较变动情况及说明；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（三）折价或者溢价情况（如有）。</w:t>
      </w:r>
    </w:p>
    <w:p>
      <w:pPr>
        <w:spacing w:after="0" w:line="200" w:lineRule="exact"/>
        <w:rPr>
          <w:sz w:val="20"/>
          <w:szCs w:val="20"/>
          <w:color w:val="auto"/>
        </w:rPr>
      </w:pPr>
    </w:p>
    <w:p>
      <w:pPr>
        <w:spacing w:after="0" w:line="215" w:lineRule="exact"/>
        <w:rPr>
          <w:sz w:val="20"/>
          <w:szCs w:val="20"/>
          <w:color w:val="auto"/>
        </w:rPr>
      </w:pPr>
    </w:p>
    <w:p>
      <w:pPr>
        <w:jc w:val="center"/>
        <w:ind w:right="-119"/>
        <w:spacing w:after="0" w:line="366" w:lineRule="exact"/>
        <w:tabs>
          <w:tab w:leader="none" w:pos="280" w:val="left"/>
        </w:tabs>
        <w:rPr>
          <w:sz w:val="20"/>
          <w:szCs w:val="20"/>
          <w:color w:val="auto"/>
        </w:rPr>
      </w:pPr>
      <w:r>
        <w:rPr>
          <w:rFonts w:ascii="宋体" w:cs="宋体" w:eastAsia="宋体" w:hAnsi="宋体"/>
          <w:sz w:val="32"/>
          <w:szCs w:val="32"/>
          <w:color w:val="auto"/>
        </w:rPr>
        <w:t>第七章</w:t>
      </w:r>
      <w:r>
        <w:rPr>
          <w:sz w:val="20"/>
          <w:szCs w:val="20"/>
          <w:color w:val="auto"/>
        </w:rPr>
        <w:tab/>
      </w:r>
      <w:r>
        <w:rPr>
          <w:rFonts w:ascii="宋体" w:cs="宋体" w:eastAsia="宋体" w:hAnsi="宋体"/>
          <w:sz w:val="31"/>
          <w:szCs w:val="31"/>
          <w:color w:val="auto"/>
        </w:rPr>
        <w:t>出具与装订</w:t>
      </w:r>
    </w:p>
    <w:p>
      <w:pPr>
        <w:spacing w:after="0" w:line="200" w:lineRule="exact"/>
        <w:rPr>
          <w:sz w:val="20"/>
          <w:szCs w:val="20"/>
          <w:color w:val="auto"/>
        </w:rPr>
      </w:pPr>
    </w:p>
    <w:p>
      <w:pPr>
        <w:spacing w:after="0" w:line="215" w:lineRule="exact"/>
        <w:rPr>
          <w:sz w:val="20"/>
          <w:szCs w:val="20"/>
          <w:color w:val="auto"/>
        </w:rPr>
      </w:pPr>
    </w:p>
    <w:p>
      <w:pPr>
        <w:ind w:left="900"/>
        <w:spacing w:after="0" w:line="366" w:lineRule="exact"/>
        <w:tabs>
          <w:tab w:leader="none" w:pos="2820" w:val="left"/>
        </w:tabs>
        <w:rPr>
          <w:sz w:val="20"/>
          <w:szCs w:val="20"/>
          <w:color w:val="auto"/>
        </w:rPr>
      </w:pPr>
      <w:r>
        <w:rPr>
          <w:rFonts w:ascii="宋体" w:cs="宋体" w:eastAsia="宋体" w:hAnsi="宋体"/>
          <w:sz w:val="32"/>
          <w:szCs w:val="32"/>
          <w:b w:val="1"/>
          <w:bCs w:val="1"/>
          <w:color w:val="auto"/>
        </w:rPr>
        <w:t>第四十七条</w:t>
      </w:r>
      <w:r>
        <w:rPr>
          <w:sz w:val="20"/>
          <w:szCs w:val="20"/>
          <w:color w:val="auto"/>
        </w:rPr>
        <w:tab/>
      </w:r>
      <w:r>
        <w:rPr>
          <w:rFonts w:ascii="宋体" w:cs="宋体" w:eastAsia="宋体" w:hAnsi="宋体"/>
          <w:sz w:val="32"/>
          <w:szCs w:val="32"/>
          <w:color w:val="auto"/>
        </w:rPr>
        <w:t>资产评估报告应当使用中文撰写。需要同时</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出具外文资产评估报告的，以中文资产评估报告为准。</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评估结论一般以人民币为计量币种，使用其他币种表示的，</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应当注明该币种与人民币在评估基准日的汇率。</w:t>
      </w:r>
    </w:p>
    <w:p>
      <w:pPr>
        <w:spacing w:after="0" w:line="259" w:lineRule="exact"/>
        <w:rPr>
          <w:sz w:val="20"/>
          <w:szCs w:val="20"/>
          <w:color w:val="auto"/>
        </w:rPr>
      </w:pPr>
    </w:p>
    <w:p>
      <w:pPr>
        <w:ind w:left="900"/>
        <w:spacing w:after="0" w:line="366" w:lineRule="exact"/>
        <w:tabs>
          <w:tab w:leader="none" w:pos="2900" w:val="left"/>
        </w:tabs>
        <w:rPr>
          <w:sz w:val="20"/>
          <w:szCs w:val="20"/>
          <w:color w:val="auto"/>
        </w:rPr>
      </w:pPr>
      <w:r>
        <w:rPr>
          <w:rFonts w:ascii="宋体" w:cs="宋体" w:eastAsia="宋体" w:hAnsi="宋体"/>
          <w:sz w:val="32"/>
          <w:szCs w:val="32"/>
          <w:b w:val="1"/>
          <w:bCs w:val="1"/>
          <w:color w:val="auto"/>
        </w:rPr>
        <w:t>第四十八条</w:t>
      </w:r>
      <w:r>
        <w:rPr>
          <w:sz w:val="20"/>
          <w:szCs w:val="20"/>
          <w:color w:val="auto"/>
        </w:rPr>
        <w:tab/>
      </w:r>
      <w:r>
        <w:rPr>
          <w:rFonts w:ascii="宋体" w:cs="宋体" w:eastAsia="宋体" w:hAnsi="宋体"/>
          <w:sz w:val="32"/>
          <w:szCs w:val="32"/>
          <w:color w:val="auto"/>
        </w:rPr>
        <w:t>资产评估报告封面应当载明资产评估报告</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标题及文号、资产评估机构全称和资产评估报告日。</w:t>
      </w:r>
    </w:p>
    <w:p>
      <w:pPr>
        <w:spacing w:after="0" w:line="259" w:lineRule="exact"/>
        <w:rPr>
          <w:sz w:val="20"/>
          <w:szCs w:val="20"/>
          <w:color w:val="auto"/>
        </w:rPr>
      </w:pPr>
    </w:p>
    <w:p>
      <w:pPr>
        <w:ind w:left="900"/>
        <w:spacing w:after="0" w:line="366" w:lineRule="exact"/>
        <w:tabs>
          <w:tab w:leader="none" w:pos="2900" w:val="left"/>
        </w:tabs>
        <w:rPr>
          <w:sz w:val="20"/>
          <w:szCs w:val="20"/>
          <w:color w:val="auto"/>
        </w:rPr>
      </w:pPr>
      <w:r>
        <w:rPr>
          <w:rFonts w:ascii="宋体" w:cs="宋体" w:eastAsia="宋体" w:hAnsi="宋体"/>
          <w:sz w:val="32"/>
          <w:szCs w:val="32"/>
          <w:b w:val="1"/>
          <w:bCs w:val="1"/>
          <w:color w:val="auto"/>
        </w:rPr>
        <w:t>第四十九条</w:t>
      </w:r>
      <w:r>
        <w:rPr>
          <w:sz w:val="20"/>
          <w:szCs w:val="20"/>
          <w:color w:val="auto"/>
        </w:rPr>
        <w:tab/>
      </w:r>
      <w:r>
        <w:rPr>
          <w:rFonts w:ascii="宋体" w:cs="宋体" w:eastAsia="宋体" w:hAnsi="宋体"/>
          <w:sz w:val="32"/>
          <w:szCs w:val="32"/>
          <w:color w:val="auto"/>
        </w:rPr>
        <w:t>资产评估报告标题及文号一般在封面上方</w:t>
      </w:r>
    </w:p>
    <w:p>
      <w:pPr>
        <w:sectPr>
          <w:pgSz w:w="11900" w:h="16838" w:orient="portrait"/>
          <w:cols w:equalWidth="0" w:num="1">
            <w:col w:w="9060"/>
          </w:cols>
          <w:pgMar w:left="1440" w:top="1440" w:right="1406" w:bottom="686" w:gutter="0" w:footer="0" w:header="0"/>
        </w:sectPr>
      </w:pPr>
    </w:p>
    <w:bookmarkStart w:id="17" w:name="page18"/>
    <w:bookmarkEnd w:id="17"/>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居中位置，资产评估机构名称及资产评估报告日应当在封面下</w:t>
      </w:r>
    </w:p>
    <w:p>
      <w:pPr>
        <w:spacing w:after="0" w:line="236"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方居中位置。资产评估报告应当用</w:t>
      </w:r>
      <w:r>
        <w:rPr>
          <w:rFonts w:ascii="Arial" w:cs="Arial" w:eastAsia="Arial" w:hAnsi="Arial"/>
          <w:sz w:val="32"/>
          <w:szCs w:val="32"/>
          <w:color w:val="auto"/>
        </w:rPr>
        <w:t xml:space="preserve"> A4 </w:t>
      </w:r>
      <w:r>
        <w:rPr>
          <w:rFonts w:ascii="宋体" w:cs="宋体" w:eastAsia="宋体" w:hAnsi="宋体"/>
          <w:sz w:val="32"/>
          <w:szCs w:val="32"/>
          <w:color w:val="auto"/>
        </w:rPr>
        <w:t>规格纸张印刷。</w:t>
      </w:r>
    </w:p>
    <w:p>
      <w:pPr>
        <w:spacing w:after="0" w:line="270" w:lineRule="exact"/>
        <w:rPr>
          <w:sz w:val="20"/>
          <w:szCs w:val="20"/>
          <w:color w:val="auto"/>
        </w:rPr>
      </w:pPr>
    </w:p>
    <w:p>
      <w:pPr>
        <w:ind w:left="900"/>
        <w:spacing w:after="0" w:line="354" w:lineRule="exact"/>
        <w:tabs>
          <w:tab w:leader="none" w:pos="2500" w:val="left"/>
        </w:tabs>
        <w:rPr>
          <w:sz w:val="20"/>
          <w:szCs w:val="20"/>
          <w:color w:val="auto"/>
        </w:rPr>
      </w:pPr>
      <w:r>
        <w:rPr>
          <w:rFonts w:ascii="宋体" w:cs="宋体" w:eastAsia="宋体" w:hAnsi="宋体"/>
          <w:sz w:val="31"/>
          <w:szCs w:val="31"/>
          <w:b w:val="1"/>
          <w:bCs w:val="1"/>
          <w:color w:val="auto"/>
        </w:rPr>
        <w:t>第五十条</w:t>
      </w:r>
      <w:r>
        <w:rPr>
          <w:sz w:val="20"/>
          <w:szCs w:val="20"/>
          <w:color w:val="auto"/>
        </w:rPr>
        <w:tab/>
      </w:r>
      <w:r>
        <w:rPr>
          <w:rFonts w:ascii="宋体" w:cs="宋体" w:eastAsia="宋体" w:hAnsi="宋体"/>
          <w:sz w:val="31"/>
          <w:szCs w:val="31"/>
          <w:color w:val="auto"/>
        </w:rPr>
        <w:t>资产评估报告一般分册装订，各册应当具有独</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立的目录。</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声明、摘要、正文和附件合订成册，其目录中应当含有其</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他册的目录，但其他册目录的页码不予标注。评估说明和评估</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明细表一般分别独立成册。必要时附件可以独立成册。</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单独成册的，其封面格式、标题中的</w:t>
      </w:r>
      <w:r>
        <w:rPr>
          <w:rFonts w:ascii="Arial" w:cs="Arial" w:eastAsia="Arial" w:hAnsi="Arial"/>
          <w:sz w:val="32"/>
          <w:szCs w:val="32"/>
          <w:color w:val="auto"/>
        </w:rPr>
        <w:t>“</w:t>
      </w:r>
      <w:r>
        <w:rPr>
          <w:rFonts w:ascii="宋体" w:cs="宋体" w:eastAsia="宋体" w:hAnsi="宋体"/>
          <w:sz w:val="32"/>
          <w:szCs w:val="32"/>
          <w:color w:val="auto"/>
        </w:rPr>
        <w:t>企业名称</w:t>
      </w:r>
      <w:r>
        <w:rPr>
          <w:rFonts w:ascii="Arial" w:cs="Arial" w:eastAsia="Arial" w:hAnsi="Arial"/>
          <w:sz w:val="32"/>
          <w:szCs w:val="32"/>
          <w:color w:val="auto"/>
        </w:rPr>
        <w:t>+</w:t>
      </w:r>
      <w:r>
        <w:rPr>
          <w:rFonts w:ascii="宋体" w:cs="宋体" w:eastAsia="宋体" w:hAnsi="宋体"/>
          <w:sz w:val="32"/>
          <w:szCs w:val="32"/>
          <w:color w:val="auto"/>
        </w:rPr>
        <w:t>经济行为</w:t>
      </w:r>
    </w:p>
    <w:p>
      <w:pPr>
        <w:spacing w:after="0" w:line="236"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关键词</w:t>
      </w:r>
      <w:r>
        <w:rPr>
          <w:rFonts w:ascii="Arial" w:cs="Arial" w:eastAsia="Arial" w:hAnsi="Arial"/>
          <w:sz w:val="32"/>
          <w:szCs w:val="32"/>
          <w:color w:val="auto"/>
        </w:rPr>
        <w:t>+</w:t>
      </w:r>
      <w:r>
        <w:rPr>
          <w:rFonts w:ascii="宋体" w:cs="宋体" w:eastAsia="宋体" w:hAnsi="宋体"/>
          <w:sz w:val="32"/>
          <w:szCs w:val="32"/>
          <w:color w:val="auto"/>
        </w:rPr>
        <w:t>评估对象</w:t>
      </w:r>
      <w:r>
        <w:rPr>
          <w:rFonts w:ascii="Arial" w:cs="Arial" w:eastAsia="Arial" w:hAnsi="Arial"/>
          <w:sz w:val="32"/>
          <w:szCs w:val="32"/>
          <w:color w:val="auto"/>
        </w:rPr>
        <w:t>”</w:t>
      </w:r>
      <w:r>
        <w:rPr>
          <w:rFonts w:ascii="宋体" w:cs="宋体" w:eastAsia="宋体" w:hAnsi="宋体"/>
          <w:sz w:val="32"/>
          <w:szCs w:val="32"/>
          <w:color w:val="auto"/>
        </w:rPr>
        <w:t>及文号等应当与资产评估报告相关格式和内</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容保持一致。</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评估明细表一般按会计科目顺序装订。</w:t>
      </w:r>
    </w:p>
    <w:p>
      <w:pPr>
        <w:spacing w:after="0" w:line="259" w:lineRule="exact"/>
        <w:rPr>
          <w:sz w:val="20"/>
          <w:szCs w:val="20"/>
          <w:color w:val="auto"/>
        </w:rPr>
      </w:pPr>
    </w:p>
    <w:p>
      <w:pPr>
        <w:ind w:left="900"/>
        <w:spacing w:after="0" w:line="366" w:lineRule="exact"/>
        <w:tabs>
          <w:tab w:leader="none" w:pos="2900" w:val="left"/>
        </w:tabs>
        <w:rPr>
          <w:sz w:val="20"/>
          <w:szCs w:val="20"/>
          <w:color w:val="auto"/>
        </w:rPr>
      </w:pPr>
      <w:r>
        <w:rPr>
          <w:rFonts w:ascii="宋体" w:cs="宋体" w:eastAsia="宋体" w:hAnsi="宋体"/>
          <w:sz w:val="32"/>
          <w:szCs w:val="32"/>
          <w:b w:val="1"/>
          <w:bCs w:val="1"/>
          <w:color w:val="auto"/>
        </w:rPr>
        <w:t>第五十一条</w:t>
      </w:r>
      <w:r>
        <w:rPr>
          <w:sz w:val="20"/>
          <w:szCs w:val="20"/>
          <w:color w:val="auto"/>
        </w:rPr>
        <w:tab/>
      </w:r>
      <w:r>
        <w:rPr>
          <w:rFonts w:ascii="宋体" w:cs="宋体" w:eastAsia="宋体" w:hAnsi="宋体"/>
          <w:sz w:val="32"/>
          <w:szCs w:val="32"/>
          <w:color w:val="auto"/>
        </w:rPr>
        <w:t>资产评估报告封底或者其他适当位置应当</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标注资产评估机构名称、地址、邮政编码、联系电话、传真、</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电子邮箱等。</w:t>
      </w:r>
    </w:p>
    <w:p>
      <w:pPr>
        <w:spacing w:after="0" w:line="200" w:lineRule="exact"/>
        <w:rPr>
          <w:sz w:val="20"/>
          <w:szCs w:val="20"/>
          <w:color w:val="auto"/>
        </w:rPr>
      </w:pPr>
    </w:p>
    <w:p>
      <w:pPr>
        <w:spacing w:after="0" w:line="215" w:lineRule="exact"/>
        <w:rPr>
          <w:sz w:val="20"/>
          <w:szCs w:val="20"/>
          <w:color w:val="auto"/>
        </w:rPr>
      </w:pPr>
    </w:p>
    <w:p>
      <w:pPr>
        <w:jc w:val="center"/>
        <w:ind w:right="-153"/>
        <w:spacing w:after="0" w:line="366" w:lineRule="exact"/>
        <w:tabs>
          <w:tab w:leader="none" w:pos="280" w:val="left"/>
        </w:tabs>
        <w:rPr>
          <w:sz w:val="20"/>
          <w:szCs w:val="20"/>
          <w:color w:val="auto"/>
        </w:rPr>
      </w:pPr>
      <w:r>
        <w:rPr>
          <w:rFonts w:ascii="宋体" w:cs="宋体" w:eastAsia="宋体" w:hAnsi="宋体"/>
          <w:sz w:val="32"/>
          <w:szCs w:val="32"/>
          <w:color w:val="auto"/>
        </w:rPr>
        <w:t>第八章</w:t>
      </w:r>
      <w:r>
        <w:rPr>
          <w:sz w:val="20"/>
          <w:szCs w:val="20"/>
          <w:color w:val="auto"/>
        </w:rPr>
        <w:tab/>
      </w:r>
      <w:r>
        <w:rPr>
          <w:rFonts w:ascii="宋体" w:cs="宋体" w:eastAsia="宋体" w:hAnsi="宋体"/>
          <w:sz w:val="31"/>
          <w:szCs w:val="31"/>
          <w:color w:val="auto"/>
        </w:rPr>
        <w:t>附则</w:t>
      </w:r>
    </w:p>
    <w:p>
      <w:pPr>
        <w:spacing w:after="0" w:line="360" w:lineRule="exact"/>
        <w:rPr>
          <w:sz w:val="20"/>
          <w:szCs w:val="20"/>
          <w:color w:val="auto"/>
        </w:rPr>
      </w:pPr>
    </w:p>
    <w:p>
      <w:pPr>
        <w:jc w:val="both"/>
        <w:ind w:left="260" w:right="106" w:firstLine="643"/>
        <w:spacing w:after="0" w:line="547" w:lineRule="exact"/>
        <w:rPr>
          <w:sz w:val="20"/>
          <w:szCs w:val="20"/>
          <w:color w:val="auto"/>
        </w:rPr>
      </w:pPr>
      <w:r>
        <w:rPr>
          <w:rFonts w:ascii="宋体" w:cs="宋体" w:eastAsia="宋体" w:hAnsi="宋体"/>
          <w:sz w:val="32"/>
          <w:szCs w:val="32"/>
          <w:b w:val="1"/>
          <w:bCs w:val="1"/>
          <w:color w:val="auto"/>
        </w:rPr>
        <w:t>第五十二条</w:t>
      </w:r>
      <w:r>
        <w:rPr>
          <w:rFonts w:ascii="Arial" w:cs="Arial" w:eastAsia="Arial" w:hAnsi="Arial"/>
          <w:sz w:val="32"/>
          <w:szCs w:val="32"/>
          <w:color w:val="auto"/>
        </w:rPr>
        <w:t xml:space="preserve"> </w:t>
      </w:r>
      <w:r>
        <w:rPr>
          <w:rFonts w:ascii="宋体" w:cs="宋体" w:eastAsia="宋体" w:hAnsi="宋体"/>
          <w:sz w:val="32"/>
          <w:szCs w:val="32"/>
          <w:color w:val="auto"/>
        </w:rPr>
        <w:t>本指南自</w:t>
      </w:r>
      <w:r>
        <w:rPr>
          <w:rFonts w:ascii="Arial" w:cs="Arial" w:eastAsia="Arial" w:hAnsi="Arial"/>
          <w:sz w:val="32"/>
          <w:szCs w:val="32"/>
          <w:color w:val="auto"/>
        </w:rPr>
        <w:t xml:space="preserve"> 2017 </w:t>
      </w:r>
      <w:r>
        <w:rPr>
          <w:rFonts w:ascii="宋体" w:cs="宋体" w:eastAsia="宋体" w:hAnsi="宋体"/>
          <w:sz w:val="32"/>
          <w:szCs w:val="32"/>
          <w:color w:val="auto"/>
        </w:rPr>
        <w:t>年</w:t>
      </w:r>
      <w:r>
        <w:rPr>
          <w:rFonts w:ascii="Arial" w:cs="Arial" w:eastAsia="Arial" w:hAnsi="Arial"/>
          <w:sz w:val="32"/>
          <w:szCs w:val="32"/>
          <w:color w:val="auto"/>
        </w:rPr>
        <w:t xml:space="preserve"> 10 </w:t>
      </w:r>
      <w:r>
        <w:rPr>
          <w:rFonts w:ascii="宋体" w:cs="宋体" w:eastAsia="宋体" w:hAnsi="宋体"/>
          <w:sz w:val="32"/>
          <w:szCs w:val="32"/>
          <w:color w:val="auto"/>
        </w:rPr>
        <w:t>月</w:t>
      </w:r>
      <w:r>
        <w:rPr>
          <w:rFonts w:ascii="Arial" w:cs="Arial" w:eastAsia="Arial" w:hAnsi="Arial"/>
          <w:sz w:val="32"/>
          <w:szCs w:val="32"/>
          <w:color w:val="auto"/>
        </w:rPr>
        <w:t xml:space="preserve"> 1 </w:t>
      </w:r>
      <w:r>
        <w:rPr>
          <w:rFonts w:ascii="宋体" w:cs="宋体" w:eastAsia="宋体" w:hAnsi="宋体"/>
          <w:sz w:val="32"/>
          <w:szCs w:val="32"/>
          <w:color w:val="auto"/>
        </w:rPr>
        <w:t>日起施行。中国资产评估协会于</w:t>
      </w:r>
      <w:r>
        <w:rPr>
          <w:rFonts w:ascii="Arial" w:cs="Arial" w:eastAsia="Arial" w:hAnsi="Arial"/>
          <w:sz w:val="32"/>
          <w:szCs w:val="32"/>
          <w:color w:val="auto"/>
        </w:rPr>
        <w:t xml:space="preserve"> 2011 </w:t>
      </w:r>
      <w:r>
        <w:rPr>
          <w:rFonts w:ascii="宋体" w:cs="宋体" w:eastAsia="宋体" w:hAnsi="宋体"/>
          <w:sz w:val="32"/>
          <w:szCs w:val="32"/>
          <w:color w:val="auto"/>
        </w:rPr>
        <w:t>年</w:t>
      </w:r>
      <w:r>
        <w:rPr>
          <w:rFonts w:ascii="Arial" w:cs="Arial" w:eastAsia="Arial" w:hAnsi="Arial"/>
          <w:sz w:val="32"/>
          <w:szCs w:val="32"/>
          <w:color w:val="auto"/>
        </w:rPr>
        <w:t xml:space="preserve"> 12 </w:t>
      </w:r>
      <w:r>
        <w:rPr>
          <w:rFonts w:ascii="宋体" w:cs="宋体" w:eastAsia="宋体" w:hAnsi="宋体"/>
          <w:sz w:val="32"/>
          <w:szCs w:val="32"/>
          <w:color w:val="auto"/>
        </w:rPr>
        <w:t>月</w:t>
      </w:r>
      <w:r>
        <w:rPr>
          <w:rFonts w:ascii="Arial" w:cs="Arial" w:eastAsia="Arial" w:hAnsi="Arial"/>
          <w:sz w:val="32"/>
          <w:szCs w:val="32"/>
          <w:color w:val="auto"/>
        </w:rPr>
        <w:t xml:space="preserve"> 30 </w:t>
      </w:r>
      <w:r>
        <w:rPr>
          <w:rFonts w:ascii="宋体" w:cs="宋体" w:eastAsia="宋体" w:hAnsi="宋体"/>
          <w:sz w:val="32"/>
          <w:szCs w:val="32"/>
          <w:color w:val="auto"/>
        </w:rPr>
        <w:t>日发布的《关于修改评估报告等准则中有关签章条款的通知》（中评协〔</w:t>
      </w:r>
      <w:r>
        <w:rPr>
          <w:rFonts w:ascii="Arial" w:cs="Arial" w:eastAsia="Arial" w:hAnsi="Arial"/>
          <w:sz w:val="32"/>
          <w:szCs w:val="32"/>
          <w:color w:val="auto"/>
        </w:rPr>
        <w:t>2011</w:t>
      </w:r>
      <w:r>
        <w:rPr>
          <w:rFonts w:ascii="宋体" w:cs="宋体" w:eastAsia="宋体" w:hAnsi="宋体"/>
          <w:sz w:val="32"/>
          <w:szCs w:val="32"/>
          <w:color w:val="auto"/>
        </w:rPr>
        <w:t>〕</w:t>
      </w:r>
      <w:r>
        <w:rPr>
          <w:rFonts w:ascii="Arial" w:cs="Arial" w:eastAsia="Arial" w:hAnsi="Arial"/>
          <w:sz w:val="32"/>
          <w:szCs w:val="32"/>
          <w:color w:val="auto"/>
        </w:rPr>
        <w:t xml:space="preserve">230 </w:t>
      </w:r>
      <w:r>
        <w:rPr>
          <w:rFonts w:ascii="宋体" w:cs="宋体" w:eastAsia="宋体" w:hAnsi="宋体"/>
          <w:sz w:val="32"/>
          <w:szCs w:val="32"/>
          <w:color w:val="auto"/>
        </w:rPr>
        <w:t>号）中的《企业国有资产评估报告指南》同时废止。</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附：</w:t>
      </w:r>
      <w:r>
        <w:rPr>
          <w:rFonts w:ascii="Arial" w:cs="Arial" w:eastAsia="Arial" w:hAnsi="Arial"/>
          <w:sz w:val="32"/>
          <w:szCs w:val="32"/>
          <w:color w:val="auto"/>
        </w:rPr>
        <w:t>1.“</w:t>
      </w:r>
      <w:r>
        <w:rPr>
          <w:rFonts w:ascii="宋体" w:cs="宋体" w:eastAsia="宋体" w:hAnsi="宋体"/>
          <w:sz w:val="32"/>
          <w:szCs w:val="32"/>
          <w:color w:val="auto"/>
        </w:rPr>
        <w:t>声明</w:t>
      </w:r>
      <w:r>
        <w:rPr>
          <w:rFonts w:ascii="Arial" w:cs="Arial" w:eastAsia="Arial" w:hAnsi="Arial"/>
          <w:sz w:val="32"/>
          <w:szCs w:val="32"/>
          <w:color w:val="auto"/>
        </w:rPr>
        <w:t>”</w:t>
      </w:r>
      <w:r>
        <w:rPr>
          <w:rFonts w:ascii="宋体" w:cs="宋体" w:eastAsia="宋体" w:hAnsi="宋体"/>
          <w:sz w:val="32"/>
          <w:szCs w:val="32"/>
          <w:color w:val="auto"/>
        </w:rPr>
        <w:t>编写指引（供参考）</w:t>
      </w:r>
    </w:p>
    <w:p>
      <w:pPr>
        <w:spacing w:after="0" w:line="236" w:lineRule="exact"/>
        <w:rPr>
          <w:sz w:val="20"/>
          <w:szCs w:val="20"/>
          <w:color w:val="auto"/>
        </w:rPr>
      </w:pPr>
    </w:p>
    <w:p>
      <w:pPr>
        <w:ind w:left="154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资产评估师承诺函</w:t>
      </w:r>
      <w:r>
        <w:rPr>
          <w:rFonts w:ascii="Arial" w:cs="Arial" w:eastAsia="Arial" w:hAnsi="Arial"/>
          <w:sz w:val="32"/>
          <w:szCs w:val="32"/>
          <w:color w:val="auto"/>
        </w:rPr>
        <w:t>”</w:t>
      </w:r>
      <w:r>
        <w:rPr>
          <w:rFonts w:ascii="宋体" w:cs="宋体" w:eastAsia="宋体" w:hAnsi="宋体"/>
          <w:sz w:val="32"/>
          <w:szCs w:val="32"/>
          <w:color w:val="auto"/>
        </w:rPr>
        <w:t>编写指引（供参考）</w:t>
      </w:r>
    </w:p>
    <w:p>
      <w:pPr>
        <w:sectPr>
          <w:pgSz w:w="11900" w:h="16838" w:orient="portrait"/>
          <w:cols w:equalWidth="0" w:num="1">
            <w:col w:w="9026"/>
          </w:cols>
          <w:pgMar w:left="1440" w:top="1440" w:right="1440" w:bottom="693" w:gutter="0" w:footer="0" w:header="0"/>
        </w:sectPr>
      </w:pPr>
    </w:p>
    <w:bookmarkStart w:id="18" w:name="page19"/>
    <w:bookmarkEnd w:id="18"/>
    <w:p>
      <w:pPr>
        <w:spacing w:after="0" w:line="343" w:lineRule="exact"/>
        <w:rPr>
          <w:sz w:val="20"/>
          <w:szCs w:val="20"/>
          <w:color w:val="auto"/>
        </w:rPr>
      </w:pPr>
    </w:p>
    <w:p>
      <w:pPr>
        <w:ind w:left="154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《企业关于进行资产评估有关事项的说明》编写指</w:t>
      </w:r>
    </w:p>
    <w:p>
      <w:pPr>
        <w:spacing w:after="0" w:line="259" w:lineRule="exact"/>
        <w:rPr>
          <w:sz w:val="20"/>
          <w:szCs w:val="20"/>
          <w:color w:val="auto"/>
        </w:rPr>
      </w:pPr>
    </w:p>
    <w:p>
      <w:pPr>
        <w:ind w:left="2020"/>
        <w:spacing w:after="0" w:line="366" w:lineRule="exact"/>
        <w:rPr>
          <w:sz w:val="20"/>
          <w:szCs w:val="20"/>
          <w:color w:val="auto"/>
        </w:rPr>
      </w:pPr>
      <w:r>
        <w:rPr>
          <w:rFonts w:ascii="宋体" w:cs="宋体" w:eastAsia="宋体" w:hAnsi="宋体"/>
          <w:sz w:val="32"/>
          <w:szCs w:val="32"/>
          <w:color w:val="auto"/>
        </w:rPr>
        <w:t>引（供参考）</w:t>
      </w:r>
    </w:p>
    <w:p>
      <w:pPr>
        <w:spacing w:after="0" w:line="236" w:lineRule="exact"/>
        <w:rPr>
          <w:sz w:val="20"/>
          <w:szCs w:val="20"/>
          <w:color w:val="auto"/>
        </w:rPr>
      </w:pPr>
    </w:p>
    <w:p>
      <w:pPr>
        <w:ind w:left="154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《资产评估说明》编写指引（供参考）</w:t>
      </w:r>
    </w:p>
    <w:p>
      <w:pPr>
        <w:sectPr>
          <w:pgSz w:w="11900" w:h="16838" w:orient="portrait"/>
          <w:cols w:equalWidth="0" w:num="1">
            <w:col w:w="9026"/>
          </w:cols>
          <w:pgMar w:left="1440" w:top="1440" w:right="1440" w:bottom="1440" w:gutter="0" w:footer="0" w:header="0"/>
        </w:sectPr>
      </w:pPr>
    </w:p>
    <w:bookmarkStart w:id="19" w:name="page20"/>
    <w:bookmarkEnd w:id="19"/>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1</w:t>
      </w:r>
    </w:p>
    <w:p>
      <w:pPr>
        <w:spacing w:after="0" w:line="392" w:lineRule="exact"/>
        <w:rPr>
          <w:sz w:val="20"/>
          <w:szCs w:val="20"/>
          <w:color w:val="auto"/>
        </w:rPr>
      </w:pPr>
    </w:p>
    <w:p>
      <w:pPr>
        <w:jc w:val="center"/>
        <w:ind w:right="-99"/>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声明</w:t>
      </w:r>
      <w:r>
        <w:rPr>
          <w:rFonts w:ascii="Arial" w:cs="Arial" w:eastAsia="Arial" w:hAnsi="Arial"/>
          <w:sz w:val="32"/>
          <w:szCs w:val="32"/>
          <w:color w:val="auto"/>
        </w:rPr>
        <w:t>”</w:t>
      </w:r>
      <w:r>
        <w:rPr>
          <w:rFonts w:ascii="宋体" w:cs="宋体" w:eastAsia="宋体" w:hAnsi="宋体"/>
          <w:sz w:val="32"/>
          <w:szCs w:val="32"/>
          <w:color w:val="auto"/>
        </w:rPr>
        <w:t>编写指引</w:t>
      </w:r>
    </w:p>
    <w:p>
      <w:pPr>
        <w:spacing w:after="0" w:line="200" w:lineRule="exact"/>
        <w:rPr>
          <w:sz w:val="20"/>
          <w:szCs w:val="20"/>
          <w:color w:val="auto"/>
        </w:rPr>
      </w:pPr>
    </w:p>
    <w:p>
      <w:pPr>
        <w:spacing w:after="0" w:line="215" w:lineRule="exact"/>
        <w:rPr>
          <w:sz w:val="20"/>
          <w:szCs w:val="20"/>
          <w:color w:val="auto"/>
        </w:rPr>
      </w:pPr>
    </w:p>
    <w:p>
      <w:pPr>
        <w:jc w:val="center"/>
        <w:ind w:right="-119"/>
        <w:spacing w:after="0" w:line="366" w:lineRule="exact"/>
        <w:rPr>
          <w:sz w:val="20"/>
          <w:szCs w:val="20"/>
          <w:color w:val="auto"/>
        </w:rPr>
      </w:pPr>
      <w:r>
        <w:rPr>
          <w:rFonts w:ascii="宋体" w:cs="宋体" w:eastAsia="宋体" w:hAnsi="宋体"/>
          <w:sz w:val="32"/>
          <w:szCs w:val="32"/>
          <w:color w:val="auto"/>
        </w:rPr>
        <w:t>（供参考）</w:t>
      </w:r>
    </w:p>
    <w:p>
      <w:pPr>
        <w:spacing w:after="0" w:line="200" w:lineRule="exact"/>
        <w:rPr>
          <w:sz w:val="20"/>
          <w:szCs w:val="20"/>
          <w:color w:val="auto"/>
        </w:rPr>
      </w:pPr>
    </w:p>
    <w:p>
      <w:pPr>
        <w:spacing w:after="0" w:line="263" w:lineRule="exact"/>
        <w:rPr>
          <w:sz w:val="20"/>
          <w:szCs w:val="20"/>
          <w:color w:val="auto"/>
        </w:rPr>
      </w:pPr>
    </w:p>
    <w:p>
      <w:pPr>
        <w:jc w:val="both"/>
        <w:ind w:left="260" w:right="160" w:firstLine="641"/>
        <w:spacing w:after="0" w:line="522" w:lineRule="exact"/>
        <w:rPr>
          <w:sz w:val="20"/>
          <w:szCs w:val="20"/>
          <w:color w:val="auto"/>
        </w:rPr>
      </w:pPr>
      <w:r>
        <w:rPr>
          <w:rFonts w:ascii="宋体" w:cs="宋体" w:eastAsia="宋体" w:hAnsi="宋体"/>
          <w:sz w:val="32"/>
          <w:szCs w:val="32"/>
          <w:color w:val="auto"/>
        </w:rPr>
        <w:t>一、本资产评估报告依据财政部发布的资产评估基本准则和中国资产评估协会发布的资产评估执业准则和职业道德准则编制。</w:t>
      </w:r>
    </w:p>
    <w:p>
      <w:pPr>
        <w:spacing w:after="0" w:line="308" w:lineRule="exact"/>
        <w:rPr>
          <w:sz w:val="20"/>
          <w:szCs w:val="20"/>
          <w:color w:val="auto"/>
        </w:rPr>
      </w:pPr>
    </w:p>
    <w:p>
      <w:pPr>
        <w:jc w:val="both"/>
        <w:ind w:left="260" w:right="160" w:firstLine="641"/>
        <w:spacing w:after="0" w:line="547" w:lineRule="exact"/>
        <w:rPr>
          <w:sz w:val="20"/>
          <w:szCs w:val="20"/>
          <w:color w:val="auto"/>
        </w:rPr>
      </w:pPr>
      <w:r>
        <w:rPr>
          <w:rFonts w:ascii="宋体" w:cs="宋体" w:eastAsia="宋体" w:hAnsi="宋体"/>
          <w:sz w:val="31"/>
          <w:szCs w:val="31"/>
          <w:color w:val="auto"/>
        </w:rPr>
        <w:t>二、委托人或者其他资产评估报告使用人应当按照法律、行政法规规定及本资产评估报告载明的使用范围使用资产评估报告；委托人或者其他资产评估报告使用人违反前述规定使用资产评估报告的，本资产评估机构及资产评估师不承担责任。</w:t>
      </w:r>
    </w:p>
    <w:p>
      <w:pPr>
        <w:spacing w:after="0" w:line="310" w:lineRule="exact"/>
        <w:rPr>
          <w:sz w:val="20"/>
          <w:szCs w:val="20"/>
          <w:color w:val="auto"/>
        </w:rPr>
      </w:pPr>
    </w:p>
    <w:p>
      <w:pPr>
        <w:jc w:val="both"/>
        <w:ind w:left="260" w:right="160" w:firstLine="641"/>
        <w:spacing w:after="0" w:line="546" w:lineRule="exact"/>
        <w:rPr>
          <w:sz w:val="20"/>
          <w:szCs w:val="20"/>
          <w:color w:val="auto"/>
        </w:rPr>
      </w:pPr>
      <w:r>
        <w:rPr>
          <w:rFonts w:ascii="宋体" w:cs="宋体" w:eastAsia="宋体" w:hAnsi="宋体"/>
          <w:sz w:val="32"/>
          <w:szCs w:val="32"/>
          <w:color w:val="auto"/>
        </w:rPr>
        <w:t>本资产评估报告仅供委托人、资产评估委托合同中约定的其他资产评估报告使用人和法律、行政法规规定的资产评估报告使用人使用；除此之外，其他任何机构和个人不能成为资产评估报告的使用人。</w:t>
      </w:r>
    </w:p>
    <w:p>
      <w:pPr>
        <w:spacing w:after="0" w:line="312" w:lineRule="exact"/>
        <w:rPr>
          <w:sz w:val="20"/>
          <w:szCs w:val="20"/>
          <w:color w:val="auto"/>
        </w:rPr>
      </w:pPr>
    </w:p>
    <w:p>
      <w:pPr>
        <w:ind w:left="260" w:firstLine="641"/>
        <w:spacing w:after="0" w:line="522" w:lineRule="exact"/>
        <w:rPr>
          <w:sz w:val="20"/>
          <w:szCs w:val="20"/>
          <w:color w:val="auto"/>
        </w:rPr>
      </w:pPr>
      <w:r>
        <w:rPr>
          <w:rFonts w:ascii="宋体" w:cs="宋体" w:eastAsia="宋体" w:hAnsi="宋体"/>
          <w:sz w:val="32"/>
          <w:szCs w:val="32"/>
          <w:color w:val="auto"/>
        </w:rPr>
        <w:t>本资产评估机构及资产评估师提示资产评估报告使用人应当正确理解评估结论，评估结论不等同于评估对象可实现价格，评估结论不应当被认为是对评估对象可实现价格的保证。</w:t>
      </w:r>
    </w:p>
    <w:p>
      <w:pPr>
        <w:spacing w:after="0" w:line="308" w:lineRule="exact"/>
        <w:rPr>
          <w:sz w:val="20"/>
          <w:szCs w:val="20"/>
          <w:color w:val="auto"/>
        </w:rPr>
      </w:pPr>
    </w:p>
    <w:p>
      <w:pPr>
        <w:jc w:val="both"/>
        <w:ind w:left="260" w:right="160" w:firstLine="641"/>
        <w:spacing w:after="0" w:line="522" w:lineRule="exact"/>
        <w:rPr>
          <w:sz w:val="20"/>
          <w:szCs w:val="20"/>
          <w:color w:val="auto"/>
        </w:rPr>
      </w:pPr>
      <w:r>
        <w:rPr>
          <w:rFonts w:ascii="宋体" w:cs="宋体" w:eastAsia="宋体" w:hAnsi="宋体"/>
          <w:sz w:val="32"/>
          <w:szCs w:val="32"/>
          <w:color w:val="auto"/>
        </w:rPr>
        <w:t>三、本资产评估机构及资产评估师遵守法律、行政法规和资产评估准则，坚持独立、客观和公正的原则，并对所出具的资产评估报告依法承担责任。</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四、评估对象涉及的资产、负债清单由委托人、被评估单</w:t>
      </w:r>
    </w:p>
    <w:p>
      <w:pPr>
        <w:sectPr>
          <w:pgSz w:w="11900" w:h="16838" w:orient="portrait"/>
          <w:cols w:equalWidth="0" w:num="1">
            <w:col w:w="9060"/>
          </w:cols>
          <w:pgMar w:left="1440" w:top="1440" w:right="1406" w:bottom="1154" w:gutter="0" w:footer="0" w:header="0"/>
        </w:sectPr>
      </w:pPr>
    </w:p>
    <w:bookmarkStart w:id="20" w:name="page21"/>
    <w:bookmarkEnd w:id="20"/>
    <w:p>
      <w:pPr>
        <w:spacing w:after="0" w:line="200" w:lineRule="exact"/>
        <w:rPr>
          <w:sz w:val="20"/>
          <w:szCs w:val="20"/>
          <w:color w:val="auto"/>
        </w:rPr>
      </w:pPr>
    </w:p>
    <w:p>
      <w:pPr>
        <w:spacing w:after="0" w:line="214" w:lineRule="exact"/>
        <w:rPr>
          <w:sz w:val="20"/>
          <w:szCs w:val="20"/>
          <w:color w:val="auto"/>
        </w:rPr>
      </w:pPr>
    </w:p>
    <w:p>
      <w:pPr>
        <w:jc w:val="both"/>
        <w:ind w:left="260" w:right="160"/>
        <w:spacing w:after="0" w:line="522" w:lineRule="exact"/>
        <w:rPr>
          <w:sz w:val="20"/>
          <w:szCs w:val="20"/>
          <w:color w:val="auto"/>
        </w:rPr>
      </w:pPr>
      <w:r>
        <w:rPr>
          <w:rFonts w:ascii="宋体" w:cs="宋体" w:eastAsia="宋体" w:hAnsi="宋体"/>
          <w:sz w:val="32"/>
          <w:szCs w:val="32"/>
          <w:color w:val="auto"/>
        </w:rPr>
        <w:t>位申报并经其采用签名、盖章或法律允许的其他方式确认；委托人和其他相关当事人依法对其提供资料的真实性、完整性、合法性负责。</w:t>
      </w:r>
    </w:p>
    <w:p>
      <w:pPr>
        <w:spacing w:after="0" w:line="307" w:lineRule="exact"/>
        <w:rPr>
          <w:sz w:val="20"/>
          <w:szCs w:val="20"/>
          <w:color w:val="auto"/>
        </w:rPr>
      </w:pPr>
    </w:p>
    <w:p>
      <w:pPr>
        <w:jc w:val="both"/>
        <w:ind w:left="260" w:right="160" w:firstLine="641"/>
        <w:spacing w:after="0" w:line="522" w:lineRule="exact"/>
        <w:rPr>
          <w:sz w:val="20"/>
          <w:szCs w:val="20"/>
          <w:color w:val="auto"/>
        </w:rPr>
      </w:pPr>
      <w:r>
        <w:rPr>
          <w:rFonts w:ascii="宋体" w:cs="宋体" w:eastAsia="宋体" w:hAnsi="宋体"/>
          <w:sz w:val="32"/>
          <w:szCs w:val="32"/>
          <w:color w:val="auto"/>
        </w:rPr>
        <w:t>五、本资产评估机构及资产评估师与资产评估报告中的评估对象没有现存或者预期的利益关系；与相关当事人没有现存或者预期的利益关系，对相关当事人不存在偏见。</w:t>
      </w:r>
    </w:p>
    <w:p>
      <w:pPr>
        <w:spacing w:after="0" w:line="308" w:lineRule="exact"/>
        <w:rPr>
          <w:sz w:val="20"/>
          <w:szCs w:val="20"/>
          <w:color w:val="auto"/>
        </w:rPr>
      </w:pPr>
    </w:p>
    <w:p>
      <w:pPr>
        <w:jc w:val="both"/>
        <w:ind w:left="260" w:right="160" w:firstLine="641"/>
        <w:spacing w:after="0" w:line="572" w:lineRule="exact"/>
        <w:rPr>
          <w:sz w:val="20"/>
          <w:szCs w:val="20"/>
          <w:color w:val="auto"/>
        </w:rPr>
      </w:pPr>
      <w:r>
        <w:rPr>
          <w:rFonts w:ascii="宋体" w:cs="宋体" w:eastAsia="宋体" w:hAnsi="宋体"/>
          <w:sz w:val="32"/>
          <w:szCs w:val="32"/>
          <w:color w:val="auto"/>
        </w:rPr>
        <w:t>六、资产评估师已经（或者未）对资产评估报告中的评估对象及其所涉及资产进行现场调查；已经对评估对象及其所涉及资产的法律权属状况给予必要的关注，对评估对象及其所涉及资产的法律权属资料进行了查验，对已经发现的问题进行了如实披露，并且已提请委托人及其他相关当事人完善产权以满足出具资产评估报告的要求。</w:t>
      </w:r>
    </w:p>
    <w:p>
      <w:pPr>
        <w:spacing w:after="0" w:line="313" w:lineRule="exact"/>
        <w:rPr>
          <w:sz w:val="20"/>
          <w:szCs w:val="20"/>
          <w:color w:val="auto"/>
        </w:rPr>
      </w:pPr>
    </w:p>
    <w:p>
      <w:pPr>
        <w:ind w:left="260" w:firstLine="641"/>
        <w:spacing w:after="0" w:line="546" w:lineRule="exact"/>
        <w:rPr>
          <w:sz w:val="20"/>
          <w:szCs w:val="20"/>
          <w:color w:val="auto"/>
        </w:rPr>
      </w:pPr>
      <w:r>
        <w:rPr>
          <w:rFonts w:ascii="宋体" w:cs="宋体" w:eastAsia="宋体" w:hAnsi="宋体"/>
          <w:sz w:val="32"/>
          <w:szCs w:val="32"/>
          <w:color w:val="auto"/>
        </w:rPr>
        <w:t>七、本资产评估机构出具的资产评估报告中的分析、判断和结果受资产评估报告中假设和限制条件的限制，资产评估报告使用人应当充分考虑资产评估报告中载明的假设、限制条件、特别事项说明及其对评估结论的影响。</w:t>
      </w:r>
    </w:p>
    <w:p>
      <w:pPr>
        <w:sectPr>
          <w:pgSz w:w="11900" w:h="16838" w:orient="portrait"/>
          <w:cols w:equalWidth="0" w:num="1">
            <w:col w:w="9060"/>
          </w:cols>
          <w:pgMar w:left="1440" w:top="1440" w:right="1406" w:bottom="1440" w:gutter="0" w:footer="0" w:header="0"/>
        </w:sectPr>
      </w:pPr>
    </w:p>
    <w:bookmarkStart w:id="21" w:name="page22"/>
    <w:bookmarkEnd w:id="21"/>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2</w:t>
      </w:r>
    </w:p>
    <w:p>
      <w:pPr>
        <w:spacing w:after="0" w:line="200" w:lineRule="exact"/>
        <w:rPr>
          <w:sz w:val="20"/>
          <w:szCs w:val="20"/>
          <w:color w:val="auto"/>
        </w:rPr>
      </w:pPr>
    </w:p>
    <w:p>
      <w:pPr>
        <w:spacing w:after="0" w:line="298" w:lineRule="exact"/>
        <w:rPr>
          <w:sz w:val="20"/>
          <w:szCs w:val="20"/>
          <w:color w:val="auto"/>
        </w:rPr>
      </w:pPr>
    </w:p>
    <w:p>
      <w:pPr>
        <w:jc w:val="center"/>
        <w:ind w:right="-99"/>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资产评估师承诺函</w:t>
      </w:r>
      <w:r>
        <w:rPr>
          <w:rFonts w:ascii="Arial" w:cs="Arial" w:eastAsia="Arial" w:hAnsi="Arial"/>
          <w:sz w:val="32"/>
          <w:szCs w:val="32"/>
          <w:color w:val="auto"/>
        </w:rPr>
        <w:t>”</w:t>
      </w:r>
      <w:r>
        <w:rPr>
          <w:rFonts w:ascii="宋体" w:cs="宋体" w:eastAsia="宋体" w:hAnsi="宋体"/>
          <w:sz w:val="32"/>
          <w:szCs w:val="32"/>
          <w:color w:val="auto"/>
        </w:rPr>
        <w:t>编写指引</w:t>
      </w:r>
    </w:p>
    <w:p>
      <w:pPr>
        <w:spacing w:after="0" w:line="200" w:lineRule="exact"/>
        <w:rPr>
          <w:sz w:val="20"/>
          <w:szCs w:val="20"/>
          <w:color w:val="auto"/>
        </w:rPr>
      </w:pPr>
    </w:p>
    <w:p>
      <w:pPr>
        <w:spacing w:after="0" w:line="316" w:lineRule="exact"/>
        <w:rPr>
          <w:sz w:val="20"/>
          <w:szCs w:val="20"/>
          <w:color w:val="auto"/>
        </w:rPr>
      </w:pPr>
    </w:p>
    <w:p>
      <w:pPr>
        <w:jc w:val="center"/>
        <w:ind w:right="-119"/>
        <w:spacing w:after="0" w:line="366" w:lineRule="exact"/>
        <w:rPr>
          <w:sz w:val="20"/>
          <w:szCs w:val="20"/>
          <w:color w:val="auto"/>
        </w:rPr>
      </w:pPr>
      <w:r>
        <w:rPr>
          <w:rFonts w:ascii="宋体" w:cs="宋体" w:eastAsia="宋体" w:hAnsi="宋体"/>
          <w:sz w:val="32"/>
          <w:szCs w:val="32"/>
          <w:color w:val="auto"/>
        </w:rPr>
        <w:t>（供参考）</w:t>
      </w:r>
    </w:p>
    <w:p>
      <w:pPr>
        <w:spacing w:after="0" w:line="392"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公司（单位）：</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受你单位的委托，我们对你单位拟实施</w:t>
      </w:r>
      <w:r>
        <w:rPr>
          <w:rFonts w:ascii="Arial" w:cs="Arial" w:eastAsia="Arial" w:hAnsi="Arial"/>
          <w:sz w:val="32"/>
          <w:szCs w:val="32"/>
          <w:color w:val="auto"/>
        </w:rPr>
        <w:t>×××</w:t>
      </w:r>
      <w:r>
        <w:rPr>
          <w:rFonts w:ascii="宋体" w:cs="宋体" w:eastAsia="宋体" w:hAnsi="宋体"/>
          <w:sz w:val="32"/>
          <w:szCs w:val="32"/>
          <w:color w:val="auto"/>
        </w:rPr>
        <w:t>行为（事宜）</w:t>
      </w:r>
    </w:p>
    <w:p>
      <w:pPr>
        <w:spacing w:after="0" w:line="237"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所涉及的</w:t>
      </w:r>
      <w:r>
        <w:rPr>
          <w:rFonts w:ascii="Arial" w:cs="Arial" w:eastAsia="Arial" w:hAnsi="Arial"/>
          <w:sz w:val="32"/>
          <w:szCs w:val="32"/>
          <w:color w:val="auto"/>
        </w:rPr>
        <w:t>×××</w:t>
      </w:r>
      <w:r>
        <w:rPr>
          <w:rFonts w:ascii="宋体" w:cs="宋体" w:eastAsia="宋体" w:hAnsi="宋体"/>
          <w:sz w:val="32"/>
          <w:szCs w:val="32"/>
          <w:color w:val="auto"/>
        </w:rPr>
        <w:t>（资产</w:t>
      </w:r>
      <w:r>
        <w:rPr>
          <w:rFonts w:ascii="Arial" w:cs="Arial" w:eastAsia="Arial" w:hAnsi="Arial"/>
          <w:sz w:val="32"/>
          <w:szCs w:val="32"/>
          <w:color w:val="auto"/>
        </w:rPr>
        <w:t>——</w:t>
      </w:r>
      <w:r>
        <w:rPr>
          <w:rFonts w:ascii="宋体" w:cs="宋体" w:eastAsia="宋体" w:hAnsi="宋体"/>
          <w:sz w:val="32"/>
          <w:szCs w:val="32"/>
          <w:color w:val="auto"/>
        </w:rPr>
        <w:t>单项资产或者资产组合、企业整体</w:t>
      </w:r>
    </w:p>
    <w:p>
      <w:pPr>
        <w:spacing w:after="0" w:line="236"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价值、股东全部权益、股东部分权益），以</w:t>
      </w:r>
      <w:r>
        <w:rPr>
          <w:rFonts w:ascii="Arial" w:cs="Arial" w:eastAsia="Arial" w:hAnsi="Arial"/>
          <w:sz w:val="32"/>
          <w:szCs w:val="32"/>
          <w:color w:val="auto"/>
        </w:rPr>
        <w:t>××××</w:t>
      </w:r>
      <w:r>
        <w:rPr>
          <w:rFonts w:ascii="宋体" w:cs="宋体" w:eastAsia="宋体" w:hAnsi="宋体"/>
          <w:sz w:val="32"/>
          <w:szCs w:val="32"/>
          <w:color w:val="auto"/>
        </w:rPr>
        <w:t>年</w:t>
      </w:r>
      <w:r>
        <w:rPr>
          <w:rFonts w:ascii="Arial" w:cs="Arial" w:eastAsia="Arial" w:hAnsi="Arial"/>
          <w:sz w:val="32"/>
          <w:szCs w:val="32"/>
          <w:color w:val="auto"/>
        </w:rPr>
        <w:t>××</w:t>
      </w:r>
      <w:r>
        <w:rPr>
          <w:rFonts w:ascii="宋体" w:cs="宋体" w:eastAsia="宋体" w:hAnsi="宋体"/>
          <w:sz w:val="32"/>
          <w:szCs w:val="32"/>
          <w:color w:val="auto"/>
        </w:rPr>
        <w:t>月</w:t>
      </w:r>
      <w:r>
        <w:rPr>
          <w:rFonts w:ascii="Arial" w:cs="Arial" w:eastAsia="Arial" w:hAnsi="Arial"/>
          <w:sz w:val="32"/>
          <w:szCs w:val="32"/>
          <w:color w:val="auto"/>
        </w:rPr>
        <w:t>×</w:t>
      </w:r>
    </w:p>
    <w:p>
      <w:pPr>
        <w:spacing w:after="0" w:line="236" w:lineRule="exact"/>
        <w:rPr>
          <w:sz w:val="20"/>
          <w:szCs w:val="20"/>
          <w:color w:val="auto"/>
        </w:rPr>
      </w:pPr>
    </w:p>
    <w:p>
      <w:pPr>
        <w:ind w:left="26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日为基准日进行了评估，形成了资产评估报告。在本报告中</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披露的假设条件成立的前提下，我们承诺如下：</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一、具备相应的职业资格。</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二、评估对象和评估范围与资产评估委托合同的约定一致。</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三、对评估对象及其所涉及的资产进行了必要的核实。</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四、根据资产评估准则选用了评估方法。</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五、充分考虑了影响评估价值的因素。</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六、评估结论合理。</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七、评估工作未受到非法干预并独立进行。</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ind w:left="5060"/>
        <w:spacing w:after="0" w:line="366" w:lineRule="exact"/>
        <w:rPr>
          <w:sz w:val="20"/>
          <w:szCs w:val="20"/>
          <w:color w:val="auto"/>
        </w:rPr>
      </w:pPr>
      <w:r>
        <w:rPr>
          <w:rFonts w:ascii="宋体" w:cs="宋体" w:eastAsia="宋体" w:hAnsi="宋体"/>
          <w:sz w:val="32"/>
          <w:szCs w:val="32"/>
          <w:color w:val="auto"/>
        </w:rPr>
        <w:t>资产评估师签名：</w:t>
      </w:r>
    </w:p>
    <w:p>
      <w:pPr>
        <w:spacing w:after="0" w:line="259" w:lineRule="exact"/>
        <w:rPr>
          <w:sz w:val="20"/>
          <w:szCs w:val="20"/>
          <w:color w:val="auto"/>
        </w:rPr>
      </w:pPr>
    </w:p>
    <w:p>
      <w:pPr>
        <w:ind w:left="6980"/>
        <w:spacing w:after="0" w:line="366" w:lineRule="exact"/>
        <w:tabs>
          <w:tab w:leader="none" w:pos="7600" w:val="left"/>
          <w:tab w:leader="none" w:pos="8240" w:val="left"/>
        </w:tabs>
        <w:rPr>
          <w:sz w:val="20"/>
          <w:szCs w:val="20"/>
          <w:color w:val="auto"/>
        </w:rPr>
      </w:pPr>
      <w:r>
        <w:rPr>
          <w:rFonts w:ascii="宋体" w:cs="宋体" w:eastAsia="宋体" w:hAnsi="宋体"/>
          <w:sz w:val="32"/>
          <w:szCs w:val="32"/>
          <w:color w:val="auto"/>
        </w:rPr>
        <w:t>年</w:t>
        <w:tab/>
        <w:t>月</w:t>
        <w:tab/>
        <w:t>日</w:t>
      </w:r>
    </w:p>
    <w:p>
      <w:pPr>
        <w:sectPr>
          <w:pgSz w:w="11900" w:h="16838" w:orient="portrait"/>
          <w:cols w:equalWidth="0" w:num="1">
            <w:col w:w="9060"/>
          </w:cols>
          <w:pgMar w:left="1440" w:top="1440" w:right="1406" w:bottom="1440" w:gutter="0" w:footer="0" w:header="0"/>
        </w:sectPr>
      </w:pPr>
    </w:p>
    <w:bookmarkStart w:id="22" w:name="page23"/>
    <w:bookmarkEnd w:id="22"/>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3</w:t>
      </w:r>
    </w:p>
    <w:p>
      <w:pPr>
        <w:spacing w:after="0" w:line="200" w:lineRule="exact"/>
        <w:rPr>
          <w:sz w:val="20"/>
          <w:szCs w:val="20"/>
          <w:color w:val="auto"/>
        </w:rPr>
      </w:pPr>
    </w:p>
    <w:p>
      <w:pPr>
        <w:spacing w:after="0" w:line="321"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《企业关于进行资产评估有关事项的说明》编写指引</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1" w:lineRule="exact"/>
        <w:rPr>
          <w:sz w:val="20"/>
          <w:szCs w:val="20"/>
          <w:color w:val="auto"/>
        </w:rPr>
      </w:pPr>
    </w:p>
    <w:p>
      <w:pPr>
        <w:jc w:val="center"/>
        <w:ind w:right="-119"/>
        <w:spacing w:after="0" w:line="366" w:lineRule="exact"/>
        <w:rPr>
          <w:sz w:val="20"/>
          <w:szCs w:val="20"/>
          <w:color w:val="auto"/>
        </w:rPr>
      </w:pPr>
      <w:r>
        <w:rPr>
          <w:rFonts w:ascii="宋体" w:cs="宋体" w:eastAsia="宋体" w:hAnsi="宋体"/>
          <w:sz w:val="32"/>
          <w:szCs w:val="32"/>
          <w:color w:val="auto"/>
        </w:rPr>
        <w:t>（供参考）</w:t>
      </w:r>
    </w:p>
    <w:p>
      <w:pPr>
        <w:spacing w:after="0" w:line="200" w:lineRule="exact"/>
        <w:rPr>
          <w:sz w:val="20"/>
          <w:szCs w:val="20"/>
          <w:color w:val="auto"/>
        </w:rPr>
      </w:pPr>
    </w:p>
    <w:p>
      <w:pPr>
        <w:spacing w:after="0" w:line="215"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一、委托人、被评估单位概况</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（一）委托人概况</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．企业名称及简称、住所、注册资本、法定代表人。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．企业性质、企业历史沿革（包括隶属关系的演变）。</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．经营业务范围及主要经营业绩。</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（二）被评估单位概况</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．企业名称及简称、住所、注册资本、法定代表人。</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．企业性质、企业历史沿革（包括隶属关系的演变）。</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．经营业务范围及主要经营业绩。</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4</w:t>
      </w:r>
      <w:r>
        <w:rPr>
          <w:rFonts w:ascii="宋体" w:cs="宋体" w:eastAsia="宋体" w:hAnsi="宋体"/>
          <w:sz w:val="31"/>
          <w:szCs w:val="31"/>
          <w:color w:val="auto"/>
        </w:rPr>
        <w:t>．近三年来企业的资产、财务、负债状况和经营业绩，已</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经审计的应当说明注册会计师发表的意见，以往不良资产处置</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情况。</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5</w:t>
      </w:r>
      <w:r>
        <w:rPr>
          <w:rFonts w:ascii="宋体" w:cs="宋体" w:eastAsia="宋体" w:hAnsi="宋体"/>
          <w:sz w:val="31"/>
          <w:szCs w:val="31"/>
          <w:color w:val="auto"/>
        </w:rPr>
        <w:t>．主要产品品种、生产能力，近年实际生产量、销售量，</w:t>
      </w:r>
    </w:p>
    <w:p>
      <w:pPr>
        <w:spacing w:after="0" w:line="271"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主要市场及其市场占有率，本企业产品在同类产品市场的地位，</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主要原材料、能源供应情况，环境污染及治理情况。</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6</w:t>
      </w:r>
      <w:r>
        <w:rPr>
          <w:rFonts w:ascii="宋体" w:cs="宋体" w:eastAsia="宋体" w:hAnsi="宋体"/>
          <w:sz w:val="31"/>
          <w:szCs w:val="31"/>
          <w:color w:val="auto"/>
        </w:rPr>
        <w:t>．形成企业主要生产能力的状况，正在或者计划进行的投</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资项目简况，企业的主要资产状况。</w:t>
      </w:r>
    </w:p>
    <w:p>
      <w:pPr>
        <w:sectPr>
          <w:pgSz w:w="11900" w:h="16838" w:orient="portrait"/>
          <w:cols w:equalWidth="0" w:num="1">
            <w:col w:w="9060"/>
          </w:cols>
          <w:pgMar w:left="1440" w:top="1440" w:right="1406" w:bottom="686" w:gutter="0" w:footer="0" w:header="0"/>
        </w:sectPr>
      </w:pPr>
    </w:p>
    <w:bookmarkStart w:id="23" w:name="page24"/>
    <w:bookmarkEnd w:id="23"/>
    <w:p>
      <w:pPr>
        <w:spacing w:after="0" w:line="355"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7</w:t>
      </w:r>
      <w:r>
        <w:rPr>
          <w:rFonts w:ascii="宋体" w:cs="宋体" w:eastAsia="宋体" w:hAnsi="宋体"/>
          <w:sz w:val="31"/>
          <w:szCs w:val="31"/>
          <w:color w:val="auto"/>
        </w:rPr>
        <w:t>．执行的主要会计政策，生产经营是否存在国家政策、法</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规的限制或者优惠，生产经营的优势分析和各种因素风险。</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（三）委托人与被评估单位的关系</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．委托人与被评估单位的关系一般包括产权关系、行政隶</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属关系、交易关系等。</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．存在两家以上被评估单位，应当分别予以介绍。</w:t>
      </w:r>
    </w:p>
    <w:p>
      <w:pPr>
        <w:spacing w:after="0" w:line="249"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3</w:t>
      </w:r>
      <w:r>
        <w:rPr>
          <w:rFonts w:ascii="宋体" w:cs="宋体" w:eastAsia="宋体" w:hAnsi="宋体"/>
          <w:sz w:val="31"/>
          <w:szCs w:val="31"/>
          <w:color w:val="auto"/>
        </w:rPr>
        <w:t>．委托人与被评估单位为同一企业，按被评估单位要求的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内容与格式编写。</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4</w:t>
      </w:r>
      <w:r>
        <w:rPr>
          <w:rFonts w:ascii="宋体" w:cs="宋体" w:eastAsia="宋体" w:hAnsi="宋体"/>
          <w:sz w:val="31"/>
          <w:szCs w:val="31"/>
          <w:color w:val="auto"/>
        </w:rPr>
        <w:t>．存在交叉持股的，还应当列示交叉持股图并简述交叉持</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股关系以及是否属于同一控制的情形。</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5</w:t>
      </w:r>
      <w:r>
        <w:rPr>
          <w:rFonts w:ascii="宋体" w:cs="宋体" w:eastAsia="宋体" w:hAnsi="宋体"/>
          <w:sz w:val="31"/>
          <w:szCs w:val="31"/>
          <w:color w:val="auto"/>
        </w:rPr>
        <w:t>．存在关联交易的，应当说明关联方、交易方式等基本情</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况。</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二、关于经济行为的说明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（一）说明本次资产评估满足何种需要、所对应的经济行</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为类型及其经济行为获得批准的相关情况，或者其他经济行为</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依据。</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（二）获得有关部门批准的，应当载明批件名称、批准日</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期及文号。</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三、关于评估对象与评估范围的说明</w:t>
      </w:r>
    </w:p>
    <w:p>
      <w:pPr>
        <w:spacing w:after="0" w:line="282" w:lineRule="exact"/>
        <w:rPr>
          <w:sz w:val="20"/>
          <w:szCs w:val="20"/>
          <w:color w:val="auto"/>
        </w:rPr>
      </w:pPr>
    </w:p>
    <w:p>
      <w:pPr>
        <w:ind w:left="900"/>
        <w:spacing w:after="0" w:line="343" w:lineRule="exact"/>
        <w:rPr>
          <w:sz w:val="20"/>
          <w:szCs w:val="20"/>
          <w:color w:val="auto"/>
        </w:rPr>
      </w:pPr>
      <w:r>
        <w:rPr>
          <w:rFonts w:ascii="宋体" w:cs="宋体" w:eastAsia="宋体" w:hAnsi="宋体"/>
          <w:sz w:val="30"/>
          <w:szCs w:val="30"/>
          <w:color w:val="auto"/>
        </w:rPr>
        <w:t>（一）说明委托评估对象，评估范围内资产和负债的类型、</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账面金额以及审计情况。</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（二）对于经营租入资产、特许使用的资产、以及没有会</w:t>
      </w:r>
    </w:p>
    <w:p>
      <w:pPr>
        <w:sectPr>
          <w:pgSz w:w="11900" w:h="16838" w:orient="portrait"/>
          <w:cols w:equalWidth="0" w:num="1">
            <w:col w:w="9026"/>
          </w:cols>
          <w:pgMar w:left="1440" w:top="1440" w:right="1440" w:bottom="998" w:gutter="0" w:footer="0" w:header="0"/>
        </w:sectPr>
      </w:pPr>
    </w:p>
    <w:bookmarkStart w:id="24" w:name="page25"/>
    <w:bookmarkEnd w:id="24"/>
    <w:p>
      <w:pPr>
        <w:spacing w:after="0" w:line="377"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计记录的无形资产应当特别说明是否纳入评估范围及其理由。</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（三）如果在评估目的实现前有不同的产权持有单位，应</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当列表载明各产权持有单位待评估资产的类型、账面金额等。</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（四）账面资产是否根据以往资产评估结论进行了调账。</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（五）本次评估前是否存在不良资产核销或者资产剥离行</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为等。</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四、关于评估基准日的说明</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（一）说明所确定的评估基准日，评估基准日表述为：</w:t>
      </w:r>
      <w:r>
        <w:rPr>
          <w:rFonts w:ascii="Arial" w:cs="Arial" w:eastAsia="Arial" w:hAnsi="Arial"/>
          <w:sz w:val="32"/>
          <w:szCs w:val="32"/>
          <w:color w:val="auto"/>
        </w:rPr>
        <w:t>×</w:t>
      </w:r>
    </w:p>
    <w:p>
      <w:pPr>
        <w:spacing w:after="0" w:line="236" w:lineRule="exact"/>
        <w:rPr>
          <w:sz w:val="20"/>
          <w:szCs w:val="20"/>
          <w:color w:val="auto"/>
        </w:rPr>
      </w:pPr>
    </w:p>
    <w:p>
      <w:pPr>
        <w:ind w:left="26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年</w:t>
      </w:r>
      <w:r>
        <w:rPr>
          <w:rFonts w:ascii="Arial" w:cs="Arial" w:eastAsia="Arial" w:hAnsi="Arial"/>
          <w:sz w:val="32"/>
          <w:szCs w:val="32"/>
          <w:color w:val="auto"/>
        </w:rPr>
        <w:t>××</w:t>
      </w:r>
      <w:r>
        <w:rPr>
          <w:rFonts w:ascii="宋体" w:cs="宋体" w:eastAsia="宋体" w:hAnsi="宋体"/>
          <w:sz w:val="32"/>
          <w:szCs w:val="32"/>
          <w:color w:val="auto"/>
        </w:rPr>
        <w:t>月</w:t>
      </w:r>
      <w:r>
        <w:rPr>
          <w:rFonts w:ascii="Arial" w:cs="Arial" w:eastAsia="Arial" w:hAnsi="Arial"/>
          <w:sz w:val="32"/>
          <w:szCs w:val="32"/>
          <w:color w:val="auto"/>
        </w:rPr>
        <w:t>××</w:t>
      </w:r>
      <w:r>
        <w:rPr>
          <w:rFonts w:ascii="宋体" w:cs="宋体" w:eastAsia="宋体" w:hAnsi="宋体"/>
          <w:sz w:val="32"/>
          <w:szCs w:val="32"/>
          <w:color w:val="auto"/>
        </w:rPr>
        <w:t>日。</w:t>
      </w:r>
    </w:p>
    <w:p>
      <w:pPr>
        <w:spacing w:after="0" w:line="307" w:lineRule="exact"/>
        <w:rPr>
          <w:sz w:val="20"/>
          <w:szCs w:val="20"/>
          <w:color w:val="auto"/>
        </w:rPr>
      </w:pPr>
    </w:p>
    <w:p>
      <w:pPr>
        <w:jc w:val="both"/>
        <w:ind w:left="260" w:right="126" w:firstLine="641"/>
        <w:spacing w:after="0" w:line="522" w:lineRule="exact"/>
        <w:rPr>
          <w:sz w:val="20"/>
          <w:szCs w:val="20"/>
          <w:color w:val="auto"/>
        </w:rPr>
      </w:pPr>
      <w:r>
        <w:rPr>
          <w:rFonts w:ascii="宋体" w:cs="宋体" w:eastAsia="宋体" w:hAnsi="宋体"/>
          <w:sz w:val="32"/>
          <w:szCs w:val="32"/>
          <w:color w:val="auto"/>
        </w:rPr>
        <w:t>（二）说明确定评估基准日的理由，如果评估基准日受特定经济行为文件的约束，应当载明该文件的名称、批准日期及文号。</w:t>
      </w:r>
    </w:p>
    <w:p>
      <w:pPr>
        <w:spacing w:after="0" w:line="307" w:lineRule="exact"/>
        <w:rPr>
          <w:sz w:val="20"/>
          <w:szCs w:val="20"/>
          <w:color w:val="auto"/>
        </w:rPr>
      </w:pPr>
    </w:p>
    <w:p>
      <w:pPr>
        <w:ind w:left="900" w:right="2366"/>
        <w:spacing w:after="0" w:line="470" w:lineRule="exact"/>
        <w:rPr>
          <w:sz w:val="20"/>
          <w:szCs w:val="20"/>
          <w:color w:val="auto"/>
        </w:rPr>
      </w:pPr>
      <w:r>
        <w:rPr>
          <w:rFonts w:ascii="宋体" w:cs="宋体" w:eastAsia="宋体" w:hAnsi="宋体"/>
          <w:sz w:val="32"/>
          <w:szCs w:val="32"/>
          <w:color w:val="auto"/>
        </w:rPr>
        <w:t>五、可能影响评估工作的重大事项的说明一般包括下列内容：</w:t>
      </w:r>
    </w:p>
    <w:p>
      <w:pPr>
        <w:spacing w:after="0" w:line="272"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（一）曾经进行过清产核资或者资产评估的情况，调账情</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况。</w:t>
      </w:r>
    </w:p>
    <w:p>
      <w:pPr>
        <w:spacing w:after="0" w:line="307" w:lineRule="exact"/>
        <w:rPr>
          <w:sz w:val="20"/>
          <w:szCs w:val="20"/>
          <w:color w:val="auto"/>
        </w:rPr>
      </w:pPr>
    </w:p>
    <w:p>
      <w:pPr>
        <w:ind w:left="260" w:right="126" w:firstLine="641"/>
        <w:spacing w:after="0" w:line="470" w:lineRule="exact"/>
        <w:rPr>
          <w:sz w:val="20"/>
          <w:szCs w:val="20"/>
          <w:color w:val="auto"/>
        </w:rPr>
      </w:pPr>
      <w:r>
        <w:rPr>
          <w:rFonts w:ascii="宋体" w:cs="宋体" w:eastAsia="宋体" w:hAnsi="宋体"/>
          <w:sz w:val="32"/>
          <w:szCs w:val="32"/>
          <w:color w:val="auto"/>
        </w:rPr>
        <w:t>（二）影响生产经营活动和财务状况的重大合同、重大诉讼事项。</w:t>
      </w:r>
    </w:p>
    <w:p>
      <w:pPr>
        <w:spacing w:after="0" w:line="309" w:lineRule="exact"/>
        <w:rPr>
          <w:sz w:val="20"/>
          <w:szCs w:val="20"/>
          <w:color w:val="auto"/>
        </w:rPr>
      </w:pPr>
    </w:p>
    <w:p>
      <w:pPr>
        <w:ind w:left="260" w:right="126" w:firstLine="641"/>
        <w:spacing w:after="0" w:line="470" w:lineRule="exact"/>
        <w:rPr>
          <w:sz w:val="20"/>
          <w:szCs w:val="20"/>
          <w:color w:val="auto"/>
        </w:rPr>
      </w:pPr>
      <w:r>
        <w:rPr>
          <w:rFonts w:ascii="宋体" w:cs="宋体" w:eastAsia="宋体" w:hAnsi="宋体"/>
          <w:sz w:val="32"/>
          <w:szCs w:val="32"/>
          <w:color w:val="auto"/>
        </w:rPr>
        <w:t>（三）抵（质）押及其或有负债、或有资产的性质、金额及其对应资产负债情况。</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（四）账面未记录的资产负债的类型及其估计金额。</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六、资产负债清查情况、未来经营和收益状况预测的说明</w:t>
      </w:r>
    </w:p>
    <w:p>
      <w:pPr>
        <w:sectPr>
          <w:pgSz w:w="11900" w:h="16838" w:orient="portrait"/>
          <w:cols w:equalWidth="0" w:num="1">
            <w:col w:w="9026"/>
          </w:cols>
          <w:pgMar w:left="1440" w:top="1440" w:right="1440" w:bottom="998" w:gutter="0" w:footer="0" w:header="0"/>
        </w:sectPr>
      </w:pPr>
    </w:p>
    <w:bookmarkStart w:id="25" w:name="page26"/>
    <w:bookmarkEnd w:id="25"/>
    <w:p>
      <w:pPr>
        <w:spacing w:after="0" w:line="366"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（一）资产负债清查情况说明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一般包括下列内容：</w:t>
      </w:r>
    </w:p>
    <w:p>
      <w:pPr>
        <w:spacing w:after="0" w:line="260" w:lineRule="exact"/>
        <w:rPr>
          <w:sz w:val="20"/>
          <w:szCs w:val="20"/>
          <w:color w:val="auto"/>
        </w:rPr>
      </w:pPr>
    </w:p>
    <w:p>
      <w:pPr>
        <w:ind w:left="900"/>
        <w:spacing w:after="0" w:line="364" w:lineRule="exact"/>
        <w:rPr>
          <w:sz w:val="20"/>
          <w:szCs w:val="20"/>
          <w:color w:val="auto"/>
        </w:rPr>
      </w:pPr>
      <w:r>
        <w:rPr>
          <w:rFonts w:ascii="Arial" w:cs="Arial" w:eastAsia="Arial" w:hAnsi="Arial"/>
          <w:sz w:val="30"/>
          <w:szCs w:val="30"/>
          <w:color w:val="auto"/>
        </w:rPr>
        <w:t>1</w:t>
      </w:r>
      <w:r>
        <w:rPr>
          <w:rFonts w:ascii="宋体" w:cs="宋体" w:eastAsia="宋体" w:hAnsi="宋体"/>
          <w:sz w:val="30"/>
          <w:szCs w:val="30"/>
          <w:color w:val="auto"/>
        </w:rPr>
        <w:t>．列入清查范围的资产负债的种类、账面金额，产权状况，</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实物资产分布地点及特点。</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．清查工作的组织如时间计划、实施方案。</w:t>
      </w:r>
    </w:p>
    <w:p>
      <w:pPr>
        <w:spacing w:after="0" w:line="260" w:lineRule="exact"/>
        <w:rPr>
          <w:sz w:val="20"/>
          <w:szCs w:val="20"/>
          <w:color w:val="auto"/>
        </w:rPr>
      </w:pPr>
    </w:p>
    <w:p>
      <w:pPr>
        <w:ind w:left="900"/>
        <w:spacing w:after="0" w:line="364" w:lineRule="exact"/>
        <w:rPr>
          <w:sz w:val="20"/>
          <w:szCs w:val="20"/>
          <w:color w:val="auto"/>
        </w:rPr>
      </w:pPr>
      <w:r>
        <w:rPr>
          <w:rFonts w:ascii="Arial" w:cs="Arial" w:eastAsia="Arial" w:hAnsi="Arial"/>
          <w:sz w:val="30"/>
          <w:szCs w:val="30"/>
          <w:color w:val="auto"/>
        </w:rPr>
        <w:t>3</w:t>
      </w:r>
      <w:r>
        <w:rPr>
          <w:rFonts w:ascii="宋体" w:cs="宋体" w:eastAsia="宋体" w:hAnsi="宋体"/>
          <w:sz w:val="30"/>
          <w:szCs w:val="30"/>
          <w:color w:val="auto"/>
        </w:rPr>
        <w:t>．清查所采取的措施，待处理、待报废固定资产，高、精、</w:t>
      </w:r>
    </w:p>
    <w:p>
      <w:pPr>
        <w:spacing w:after="0" w:line="271"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尖设备和特殊建筑物以及毁损、变质存货检测或者鉴定的情况。</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．清查中发现的盘盈、盘亏、毁损、变质、报废存货的数</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量和金额的确定情况、呆坏账损失及无需偿付负债的判断及原</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因分析。</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（二）未来经营和收益状况预测说明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一般包括下列内容：</w:t>
      </w:r>
    </w:p>
    <w:p>
      <w:pPr>
        <w:spacing w:after="0" w:line="261" w:lineRule="exact"/>
        <w:rPr>
          <w:sz w:val="20"/>
          <w:szCs w:val="20"/>
          <w:color w:val="auto"/>
        </w:rPr>
      </w:pPr>
    </w:p>
    <w:p>
      <w:pPr>
        <w:ind w:left="900"/>
        <w:spacing w:after="0" w:line="364" w:lineRule="exact"/>
        <w:rPr>
          <w:sz w:val="20"/>
          <w:szCs w:val="20"/>
          <w:color w:val="auto"/>
        </w:rPr>
      </w:pPr>
      <w:r>
        <w:rPr>
          <w:rFonts w:ascii="Arial" w:cs="Arial" w:eastAsia="Arial" w:hAnsi="Arial"/>
          <w:sz w:val="30"/>
          <w:szCs w:val="30"/>
          <w:color w:val="auto"/>
        </w:rPr>
        <w:t>1</w:t>
      </w:r>
      <w:r>
        <w:rPr>
          <w:rFonts w:ascii="宋体" w:cs="宋体" w:eastAsia="宋体" w:hAnsi="宋体"/>
          <w:sz w:val="30"/>
          <w:szCs w:val="30"/>
          <w:color w:val="auto"/>
        </w:rPr>
        <w:t>．所在行业相关经济要素及发展前景、生产经营历史情况、</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面临的竞争情况及优劣势分析。</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．内部管理制度、人力资源、核心技术、研发状况、无形</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资产、管理层构成等经营管理状况。</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．近年企业资产、负债、权益、盈利、利润分配、现金流</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量等资产财务状况。</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．未来主营收入、成本、费用等的预测过程和结果。</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．如果企业存在关联交易，应当说明关联交易性质及定价</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原则等。</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七、资料清单</w:t>
      </w:r>
    </w:p>
    <w:p>
      <w:pPr>
        <w:sectPr>
          <w:pgSz w:w="11900" w:h="16838" w:orient="portrait"/>
          <w:cols w:equalWidth="0" w:num="1">
            <w:col w:w="9080"/>
          </w:cols>
          <w:pgMar w:left="1440" w:top="1440" w:right="1386" w:bottom="998" w:gutter="0" w:footer="0" w:header="0"/>
        </w:sectPr>
      </w:pPr>
    </w:p>
    <w:bookmarkStart w:id="26" w:name="page27"/>
    <w:bookmarkEnd w:id="26"/>
    <w:p>
      <w:pPr>
        <w:spacing w:after="0" w:line="366"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一般包括下列内容：</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．资产评估申报表（由资产评估机构出具样式）；</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．相关经济行为的批文；</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．审计报告；</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．资产权属证明文件、产权证明文件；</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．重大合同、协议等；</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．生产经营统计资料；</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7</w:t>
      </w:r>
      <w:r>
        <w:rPr>
          <w:rFonts w:ascii="宋体" w:cs="宋体" w:eastAsia="宋体" w:hAnsi="宋体"/>
          <w:sz w:val="32"/>
          <w:szCs w:val="32"/>
          <w:color w:val="auto"/>
        </w:rPr>
        <w:t>．其他资料。</w:t>
      </w:r>
    </w:p>
    <w:p>
      <w:pPr>
        <w:sectPr>
          <w:pgSz w:w="11900" w:h="16838" w:orient="portrait"/>
          <w:cols w:equalWidth="0" w:num="1">
            <w:col w:w="9026"/>
          </w:cols>
          <w:pgMar w:left="1440" w:top="1440" w:right="1440" w:bottom="1440" w:gutter="0" w:footer="0" w:header="0"/>
        </w:sectPr>
      </w:pPr>
    </w:p>
    <w:bookmarkStart w:id="27" w:name="page28"/>
    <w:bookmarkEnd w:id="27"/>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 xml:space="preserve">附 </w:t>
      </w:r>
      <w:r>
        <w:rPr>
          <w:rFonts w:ascii="黑体" w:cs="黑体" w:eastAsia="黑体" w:hAnsi="黑体"/>
          <w:sz w:val="32"/>
          <w:szCs w:val="32"/>
          <w:color w:val="auto"/>
        </w:rPr>
        <w:t>4</w:t>
      </w:r>
    </w:p>
    <w:p>
      <w:pPr>
        <w:spacing w:after="0" w:line="200" w:lineRule="exact"/>
        <w:rPr>
          <w:sz w:val="20"/>
          <w:szCs w:val="20"/>
          <w:color w:val="auto"/>
        </w:rPr>
      </w:pPr>
    </w:p>
    <w:p>
      <w:pPr>
        <w:spacing w:after="0" w:line="321" w:lineRule="exact"/>
        <w:rPr>
          <w:sz w:val="20"/>
          <w:szCs w:val="20"/>
          <w:color w:val="auto"/>
        </w:rPr>
      </w:pPr>
    </w:p>
    <w:p>
      <w:pPr>
        <w:jc w:val="center"/>
        <w:ind w:right="-99"/>
        <w:spacing w:after="0" w:line="366" w:lineRule="exact"/>
        <w:rPr>
          <w:sz w:val="20"/>
          <w:szCs w:val="20"/>
          <w:color w:val="auto"/>
        </w:rPr>
      </w:pPr>
      <w:r>
        <w:rPr>
          <w:rFonts w:ascii="宋体" w:cs="宋体" w:eastAsia="宋体" w:hAnsi="宋体"/>
          <w:sz w:val="32"/>
          <w:szCs w:val="32"/>
          <w:color w:val="auto"/>
        </w:rPr>
        <w:t>《资产评估说明》编写指引</w:t>
      </w:r>
    </w:p>
    <w:p>
      <w:pPr>
        <w:spacing w:after="0" w:line="200" w:lineRule="exact"/>
        <w:rPr>
          <w:sz w:val="20"/>
          <w:szCs w:val="20"/>
          <w:color w:val="auto"/>
        </w:rPr>
      </w:pPr>
    </w:p>
    <w:p>
      <w:pPr>
        <w:spacing w:after="0" w:line="316" w:lineRule="exact"/>
        <w:rPr>
          <w:sz w:val="20"/>
          <w:szCs w:val="20"/>
          <w:color w:val="auto"/>
        </w:rPr>
      </w:pPr>
    </w:p>
    <w:p>
      <w:pPr>
        <w:jc w:val="center"/>
        <w:ind w:right="-119"/>
        <w:spacing w:after="0" w:line="366" w:lineRule="exact"/>
        <w:rPr>
          <w:sz w:val="20"/>
          <w:szCs w:val="20"/>
          <w:color w:val="auto"/>
        </w:rPr>
      </w:pPr>
      <w:r>
        <w:rPr>
          <w:rFonts w:ascii="宋体" w:cs="宋体" w:eastAsia="宋体" w:hAnsi="宋体"/>
          <w:sz w:val="32"/>
          <w:szCs w:val="32"/>
          <w:color w:val="auto"/>
        </w:rPr>
        <w:t>（供参考）</w:t>
      </w:r>
    </w:p>
    <w:p>
      <w:pPr>
        <w:spacing w:after="0" w:line="200" w:lineRule="exact"/>
        <w:rPr>
          <w:sz w:val="20"/>
          <w:szCs w:val="20"/>
          <w:color w:val="auto"/>
        </w:rPr>
      </w:pPr>
    </w:p>
    <w:p>
      <w:pPr>
        <w:spacing w:after="0" w:line="263" w:lineRule="exact"/>
        <w:rPr>
          <w:sz w:val="20"/>
          <w:szCs w:val="20"/>
          <w:color w:val="auto"/>
        </w:rPr>
      </w:pPr>
    </w:p>
    <w:p>
      <w:pPr>
        <w:jc w:val="both"/>
        <w:ind w:left="260" w:right="140" w:firstLine="641"/>
        <w:spacing w:after="0" w:line="546" w:lineRule="exact"/>
        <w:rPr>
          <w:sz w:val="20"/>
          <w:szCs w:val="20"/>
          <w:color w:val="auto"/>
        </w:rPr>
      </w:pPr>
      <w:r>
        <w:rPr>
          <w:rFonts w:ascii="宋体" w:cs="宋体" w:eastAsia="宋体" w:hAnsi="宋体"/>
          <w:sz w:val="32"/>
          <w:szCs w:val="32"/>
          <w:color w:val="auto"/>
        </w:rPr>
        <w:t>资产评估说明是申请备案核准资产评估业务的必备材料，为方便企业国有资产监督管理机构和相关机构全面了解资产评估情况，本指引结合国有资产评估业务备案核准的要求，为资产评估机构及其资产评估师编写资产评估说明提供指引。</w:t>
      </w:r>
    </w:p>
    <w:p>
      <w:pPr>
        <w:spacing w:after="0" w:line="265" w:lineRule="exact"/>
        <w:rPr>
          <w:sz w:val="20"/>
          <w:szCs w:val="20"/>
          <w:color w:val="auto"/>
        </w:rPr>
      </w:pPr>
    </w:p>
    <w:p>
      <w:pPr>
        <w:ind w:left="2460"/>
        <w:spacing w:after="0" w:line="366" w:lineRule="exact"/>
        <w:rPr>
          <w:sz w:val="20"/>
          <w:szCs w:val="20"/>
          <w:color w:val="auto"/>
        </w:rPr>
      </w:pPr>
      <w:r>
        <w:rPr>
          <w:rFonts w:ascii="宋体" w:cs="宋体" w:eastAsia="宋体" w:hAnsi="宋体"/>
          <w:sz w:val="32"/>
          <w:szCs w:val="32"/>
          <w:color w:val="auto"/>
        </w:rPr>
        <w:t>第一部分 资产评估说明封面及目录</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一、封面</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资产评估说明封面应当载明下列内容：</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．标题（一般采用</w:t>
      </w:r>
      <w:r>
        <w:rPr>
          <w:rFonts w:ascii="Arial" w:cs="Arial" w:eastAsia="Arial" w:hAnsi="Arial"/>
          <w:sz w:val="32"/>
          <w:szCs w:val="32"/>
          <w:color w:val="auto"/>
        </w:rPr>
        <w:t>“</w:t>
      </w:r>
      <w:r>
        <w:rPr>
          <w:rFonts w:ascii="宋体" w:cs="宋体" w:eastAsia="宋体" w:hAnsi="宋体"/>
          <w:sz w:val="32"/>
          <w:szCs w:val="32"/>
          <w:color w:val="auto"/>
        </w:rPr>
        <w:t>企业名称</w:t>
      </w:r>
      <w:r>
        <w:rPr>
          <w:rFonts w:ascii="Arial" w:cs="Arial" w:eastAsia="Arial" w:hAnsi="Arial"/>
          <w:sz w:val="32"/>
          <w:szCs w:val="32"/>
          <w:color w:val="auto"/>
        </w:rPr>
        <w:t>+</w:t>
      </w:r>
      <w:r>
        <w:rPr>
          <w:rFonts w:ascii="宋体" w:cs="宋体" w:eastAsia="宋体" w:hAnsi="宋体"/>
          <w:sz w:val="32"/>
          <w:szCs w:val="32"/>
          <w:color w:val="auto"/>
        </w:rPr>
        <w:t>经济行为关键词</w:t>
      </w:r>
      <w:r>
        <w:rPr>
          <w:rFonts w:ascii="Arial" w:cs="Arial" w:eastAsia="Arial" w:hAnsi="Arial"/>
          <w:sz w:val="32"/>
          <w:szCs w:val="32"/>
          <w:color w:val="auto"/>
        </w:rPr>
        <w:t>+</w:t>
      </w:r>
      <w:r>
        <w:rPr>
          <w:rFonts w:ascii="宋体" w:cs="宋体" w:eastAsia="宋体" w:hAnsi="宋体"/>
          <w:sz w:val="32"/>
          <w:szCs w:val="32"/>
          <w:color w:val="auto"/>
        </w:rPr>
        <w:t>评估对象</w:t>
      </w:r>
    </w:p>
    <w:p>
      <w:pPr>
        <w:spacing w:after="0" w:line="237" w:lineRule="exact"/>
        <w:rPr>
          <w:sz w:val="20"/>
          <w:szCs w:val="20"/>
          <w:color w:val="auto"/>
        </w:rPr>
      </w:pPr>
    </w:p>
    <w:p>
      <w:pPr>
        <w:ind w:left="260"/>
        <w:spacing w:after="0" w:line="388" w:lineRule="exact"/>
        <w:rPr>
          <w:sz w:val="20"/>
          <w:szCs w:val="20"/>
          <w:color w:val="auto"/>
        </w:rPr>
      </w:pPr>
      <w:r>
        <w:rPr>
          <w:rFonts w:ascii="Arial" w:cs="Arial" w:eastAsia="Arial" w:hAnsi="Arial"/>
          <w:sz w:val="32"/>
          <w:szCs w:val="32"/>
          <w:color w:val="auto"/>
        </w:rPr>
        <w:t>+</w:t>
      </w:r>
      <w:r>
        <w:rPr>
          <w:rFonts w:ascii="宋体" w:cs="宋体" w:eastAsia="宋体" w:hAnsi="宋体"/>
          <w:sz w:val="32"/>
          <w:szCs w:val="32"/>
          <w:color w:val="auto"/>
        </w:rPr>
        <w:t>资产评估说明</w:t>
      </w:r>
      <w:r>
        <w:rPr>
          <w:rFonts w:ascii="Arial" w:cs="Arial" w:eastAsia="Arial" w:hAnsi="Arial"/>
          <w:sz w:val="32"/>
          <w:szCs w:val="32"/>
          <w:color w:val="auto"/>
        </w:rPr>
        <w:t>”</w:t>
      </w:r>
      <w:r>
        <w:rPr>
          <w:rFonts w:ascii="宋体" w:cs="宋体" w:eastAsia="宋体" w:hAnsi="宋体"/>
          <w:sz w:val="32"/>
          <w:szCs w:val="32"/>
          <w:color w:val="auto"/>
        </w:rPr>
        <w:t>的形式）；</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．资产评估报告文号；</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．资产评估机构名称；</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．资产评估报告日。</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二、目录</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．目录应当在封面的下一页排印，包括每一部分的标题和</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相应页码。</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2</w:t>
      </w:r>
      <w:r>
        <w:rPr>
          <w:rFonts w:ascii="宋体" w:cs="宋体" w:eastAsia="宋体" w:hAnsi="宋体"/>
          <w:sz w:val="31"/>
          <w:szCs w:val="31"/>
          <w:color w:val="auto"/>
        </w:rPr>
        <w:t>．如果资产评估说明中收录有关文件或者资料的复印件，</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应当统一标注页码。</w:t>
      </w:r>
    </w:p>
    <w:p>
      <w:pPr>
        <w:spacing w:after="0" w:line="259" w:lineRule="exact"/>
        <w:rPr>
          <w:sz w:val="20"/>
          <w:szCs w:val="20"/>
          <w:color w:val="auto"/>
        </w:rPr>
      </w:pPr>
    </w:p>
    <w:p>
      <w:pPr>
        <w:ind w:left="1780"/>
        <w:spacing w:after="0" w:line="366" w:lineRule="exact"/>
        <w:rPr>
          <w:sz w:val="20"/>
          <w:szCs w:val="20"/>
          <w:color w:val="auto"/>
        </w:rPr>
      </w:pPr>
      <w:r>
        <w:rPr>
          <w:rFonts w:ascii="宋体" w:cs="宋体" w:eastAsia="宋体" w:hAnsi="宋体"/>
          <w:sz w:val="32"/>
          <w:szCs w:val="32"/>
          <w:color w:val="auto"/>
        </w:rPr>
        <w:t>第二部分 关于资产评估说明使用范围的声明</w:t>
      </w:r>
    </w:p>
    <w:p>
      <w:pPr>
        <w:sectPr>
          <w:pgSz w:w="11900" w:h="16838" w:orient="portrait"/>
          <w:cols w:equalWidth="0" w:num="1">
            <w:col w:w="9060"/>
          </w:cols>
          <w:pgMar w:left="1440" w:top="1440" w:right="1406" w:bottom="947" w:gutter="0" w:footer="0" w:header="0"/>
        </w:sectPr>
      </w:pPr>
    </w:p>
    <w:bookmarkStart w:id="28" w:name="page29"/>
    <w:bookmarkEnd w:id="28"/>
    <w:p>
      <w:pPr>
        <w:spacing w:after="0" w:line="377"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声明应当写明，资产评估说明供国有资产监督管理机构（含</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所出资企业）、相关监管机构和部门使用。除法律、行政法规规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定外，材料的全部或者部分内容不得提供给其他任何单位和个</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人，不得见诸公开媒体。</w:t>
      </w:r>
    </w:p>
    <w:p>
      <w:pPr>
        <w:spacing w:after="0" w:line="259" w:lineRule="exact"/>
        <w:rPr>
          <w:sz w:val="20"/>
          <w:szCs w:val="20"/>
          <w:color w:val="auto"/>
        </w:rPr>
      </w:pPr>
    </w:p>
    <w:p>
      <w:pPr>
        <w:ind w:left="2900"/>
        <w:spacing w:after="0" w:line="366" w:lineRule="exact"/>
        <w:rPr>
          <w:sz w:val="20"/>
          <w:szCs w:val="20"/>
          <w:color w:val="auto"/>
        </w:rPr>
      </w:pPr>
      <w:r>
        <w:rPr>
          <w:rFonts w:ascii="宋体" w:cs="宋体" w:eastAsia="宋体" w:hAnsi="宋体"/>
          <w:sz w:val="32"/>
          <w:szCs w:val="32"/>
          <w:color w:val="auto"/>
        </w:rPr>
        <w:t>第三部分 资产评估说明正文</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一、评估对象与评估范围说明</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（一）评估对象与评估范围内容</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．说明委托评估的评估对象与评估范围。</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．说明委托评估的资产类型、账面金额。</w:t>
      </w:r>
    </w:p>
    <w:p>
      <w:pPr>
        <w:spacing w:after="0" w:line="260" w:lineRule="exact"/>
        <w:rPr>
          <w:sz w:val="20"/>
          <w:szCs w:val="20"/>
          <w:color w:val="auto"/>
        </w:rPr>
      </w:pPr>
    </w:p>
    <w:p>
      <w:pPr>
        <w:ind w:left="900"/>
        <w:spacing w:after="0" w:line="364" w:lineRule="exact"/>
        <w:rPr>
          <w:sz w:val="20"/>
          <w:szCs w:val="20"/>
          <w:color w:val="auto"/>
        </w:rPr>
      </w:pPr>
      <w:r>
        <w:rPr>
          <w:rFonts w:ascii="Arial" w:cs="Arial" w:eastAsia="Arial" w:hAnsi="Arial"/>
          <w:sz w:val="30"/>
          <w:szCs w:val="30"/>
          <w:color w:val="auto"/>
        </w:rPr>
        <w:t>3</w:t>
      </w:r>
      <w:r>
        <w:rPr>
          <w:rFonts w:ascii="宋体" w:cs="宋体" w:eastAsia="宋体" w:hAnsi="宋体"/>
          <w:sz w:val="30"/>
          <w:szCs w:val="30"/>
          <w:color w:val="auto"/>
        </w:rPr>
        <w:t>．说明委托评估的资产权属状况（含应当评估的相关负债）。</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（二）实物资产的分布情况及特点</w:t>
      </w:r>
    </w:p>
    <w:p>
      <w:pPr>
        <w:spacing w:after="0" w:line="236" w:lineRule="exact"/>
        <w:rPr>
          <w:sz w:val="20"/>
          <w:szCs w:val="20"/>
          <w:color w:val="auto"/>
        </w:rPr>
      </w:pPr>
    </w:p>
    <w:p>
      <w:pPr>
        <w:ind w:left="1380" w:hanging="477"/>
        <w:spacing w:after="0" w:line="388" w:lineRule="exact"/>
        <w:tabs>
          <w:tab w:leader="none" w:pos="1380" w:val="left"/>
        </w:tabs>
        <w:numPr>
          <w:ilvl w:val="0"/>
          <w:numId w:val="1"/>
        </w:numPr>
        <w:rPr>
          <w:rFonts w:ascii="Arial" w:cs="Arial" w:eastAsia="Arial" w:hAnsi="Arial"/>
          <w:sz w:val="32"/>
          <w:szCs w:val="32"/>
          <w:color w:val="auto"/>
        </w:rPr>
      </w:pPr>
      <w:r>
        <w:rPr>
          <w:rFonts w:ascii="宋体" w:cs="宋体" w:eastAsia="宋体" w:hAnsi="宋体"/>
          <w:sz w:val="32"/>
          <w:szCs w:val="32"/>
          <w:color w:val="auto"/>
        </w:rPr>
        <w:t>说明实物资产的类型、数量、分布情况和存放地点。</w:t>
      </w:r>
    </w:p>
    <w:p>
      <w:pPr>
        <w:spacing w:after="0" w:line="307" w:lineRule="exact"/>
        <w:rPr>
          <w:rFonts w:ascii="Arial" w:cs="Arial" w:eastAsia="Arial" w:hAnsi="Arial"/>
          <w:sz w:val="32"/>
          <w:szCs w:val="32"/>
          <w:color w:val="auto"/>
        </w:rPr>
      </w:pPr>
    </w:p>
    <w:p>
      <w:pPr>
        <w:ind w:left="260" w:right="300" w:firstLine="643"/>
        <w:spacing w:after="0" w:line="471" w:lineRule="exact"/>
        <w:tabs>
          <w:tab w:leader="none" w:pos="1381" w:val="left"/>
        </w:tabs>
        <w:numPr>
          <w:ilvl w:val="0"/>
          <w:numId w:val="1"/>
        </w:numPr>
        <w:rPr>
          <w:rFonts w:ascii="Arial" w:cs="Arial" w:eastAsia="Arial" w:hAnsi="Arial"/>
          <w:sz w:val="32"/>
          <w:szCs w:val="32"/>
          <w:color w:val="auto"/>
        </w:rPr>
      </w:pPr>
      <w:r>
        <w:rPr>
          <w:rFonts w:ascii="宋体" w:cs="宋体" w:eastAsia="宋体" w:hAnsi="宋体"/>
          <w:sz w:val="32"/>
          <w:szCs w:val="32"/>
          <w:color w:val="auto"/>
        </w:rPr>
        <w:t>说明实物资产的技术特点、实际使用情况、大修理及改扩建情况等。</w:t>
      </w:r>
    </w:p>
    <w:p>
      <w:pPr>
        <w:spacing w:after="0" w:line="259" w:lineRule="exact"/>
        <w:rPr>
          <w:rFonts w:ascii="Arial" w:cs="Arial" w:eastAsia="Arial" w:hAnsi="Arial"/>
          <w:sz w:val="32"/>
          <w:szCs w:val="32"/>
          <w:color w:val="auto"/>
        </w:rPr>
      </w:pPr>
    </w:p>
    <w:p>
      <w:pPr>
        <w:ind w:left="900"/>
        <w:spacing w:after="0" w:line="366" w:lineRule="exact"/>
        <w:rPr>
          <w:rFonts w:ascii="Arial" w:cs="Arial" w:eastAsia="Arial" w:hAnsi="Arial"/>
          <w:sz w:val="32"/>
          <w:szCs w:val="32"/>
          <w:color w:val="auto"/>
        </w:rPr>
      </w:pPr>
      <w:r>
        <w:rPr>
          <w:rFonts w:ascii="宋体" w:cs="宋体" w:eastAsia="宋体" w:hAnsi="宋体"/>
          <w:sz w:val="32"/>
          <w:szCs w:val="32"/>
          <w:color w:val="auto"/>
        </w:rPr>
        <w:t>（三）企业申报的账面记录或者未记录的无形资产情况。</w:t>
      </w:r>
    </w:p>
    <w:p>
      <w:pPr>
        <w:spacing w:after="0" w:line="259" w:lineRule="exact"/>
        <w:rPr>
          <w:rFonts w:ascii="Arial" w:cs="Arial" w:eastAsia="Arial" w:hAnsi="Arial"/>
          <w:sz w:val="32"/>
          <w:szCs w:val="32"/>
          <w:color w:val="auto"/>
        </w:rPr>
      </w:pPr>
    </w:p>
    <w:p>
      <w:pPr>
        <w:ind w:left="900"/>
        <w:spacing w:after="0" w:line="366" w:lineRule="exact"/>
        <w:rPr>
          <w:rFonts w:ascii="Arial" w:cs="Arial" w:eastAsia="Arial" w:hAnsi="Arial"/>
          <w:sz w:val="32"/>
          <w:szCs w:val="32"/>
          <w:color w:val="auto"/>
        </w:rPr>
      </w:pPr>
      <w:r>
        <w:rPr>
          <w:rFonts w:ascii="宋体" w:cs="宋体" w:eastAsia="宋体" w:hAnsi="宋体"/>
          <w:sz w:val="32"/>
          <w:szCs w:val="32"/>
          <w:color w:val="auto"/>
        </w:rPr>
        <w:t>（四）企业申报的表外资产（如有申报）的类型、数量。</w:t>
      </w:r>
    </w:p>
    <w:p>
      <w:pPr>
        <w:spacing w:after="0" w:line="306" w:lineRule="exact"/>
        <w:rPr>
          <w:rFonts w:ascii="Arial" w:cs="Arial" w:eastAsia="Arial" w:hAnsi="Arial"/>
          <w:sz w:val="32"/>
          <w:szCs w:val="32"/>
          <w:color w:val="auto"/>
        </w:rPr>
      </w:pPr>
    </w:p>
    <w:p>
      <w:pPr>
        <w:ind w:left="260" w:right="160" w:firstLine="641"/>
        <w:spacing w:after="0" w:line="470" w:lineRule="exact"/>
        <w:rPr>
          <w:rFonts w:ascii="Arial" w:cs="Arial" w:eastAsia="Arial" w:hAnsi="Arial"/>
          <w:sz w:val="32"/>
          <w:szCs w:val="32"/>
          <w:color w:val="auto"/>
        </w:rPr>
      </w:pPr>
      <w:r>
        <w:rPr>
          <w:rFonts w:ascii="宋体" w:cs="宋体" w:eastAsia="宋体" w:hAnsi="宋体"/>
          <w:sz w:val="32"/>
          <w:szCs w:val="32"/>
          <w:color w:val="auto"/>
        </w:rPr>
        <w:t>（五）引用其他机构出具的报告的结果所涉及的资产类型、数量和账面金额（或者评估值）。</w:t>
      </w:r>
    </w:p>
    <w:p>
      <w:pPr>
        <w:spacing w:after="0" w:line="308" w:lineRule="exact"/>
        <w:rPr>
          <w:rFonts w:ascii="Arial" w:cs="Arial" w:eastAsia="Arial" w:hAnsi="Arial"/>
          <w:sz w:val="32"/>
          <w:szCs w:val="32"/>
          <w:color w:val="auto"/>
        </w:rPr>
      </w:pPr>
    </w:p>
    <w:p>
      <w:pPr>
        <w:ind w:left="260" w:right="320" w:firstLine="641"/>
        <w:spacing w:after="0" w:line="470" w:lineRule="exact"/>
        <w:rPr>
          <w:rFonts w:ascii="Arial" w:cs="Arial" w:eastAsia="Arial" w:hAnsi="Arial"/>
          <w:sz w:val="32"/>
          <w:szCs w:val="32"/>
          <w:color w:val="auto"/>
        </w:rPr>
      </w:pPr>
      <w:r>
        <w:rPr>
          <w:rFonts w:ascii="宋体" w:cs="宋体" w:eastAsia="宋体" w:hAnsi="宋体"/>
          <w:sz w:val="32"/>
          <w:szCs w:val="32"/>
          <w:color w:val="auto"/>
        </w:rPr>
        <w:t>单项资产或者资产组合评估，可以根据具体情况确定内容的详略程度。</w:t>
      </w:r>
    </w:p>
    <w:p>
      <w:pPr>
        <w:spacing w:after="0" w:line="260" w:lineRule="exact"/>
        <w:rPr>
          <w:rFonts w:ascii="Arial" w:cs="Arial" w:eastAsia="Arial" w:hAnsi="Arial"/>
          <w:sz w:val="32"/>
          <w:szCs w:val="32"/>
          <w:color w:val="auto"/>
        </w:rPr>
      </w:pPr>
    </w:p>
    <w:p>
      <w:pPr>
        <w:ind w:left="900"/>
        <w:spacing w:after="0" w:line="366" w:lineRule="exact"/>
        <w:rPr>
          <w:rFonts w:ascii="Arial" w:cs="Arial" w:eastAsia="Arial" w:hAnsi="Arial"/>
          <w:sz w:val="32"/>
          <w:szCs w:val="32"/>
          <w:color w:val="auto"/>
        </w:rPr>
      </w:pPr>
      <w:r>
        <w:rPr>
          <w:rFonts w:ascii="宋体" w:cs="宋体" w:eastAsia="宋体" w:hAnsi="宋体"/>
          <w:sz w:val="32"/>
          <w:szCs w:val="32"/>
          <w:color w:val="auto"/>
        </w:rPr>
        <w:t>二、资产核实情况总体说明</w:t>
      </w:r>
    </w:p>
    <w:p>
      <w:pPr>
        <w:spacing w:after="0" w:line="258" w:lineRule="exact"/>
        <w:rPr>
          <w:rFonts w:ascii="Arial" w:cs="Arial" w:eastAsia="Arial" w:hAnsi="Arial"/>
          <w:sz w:val="32"/>
          <w:szCs w:val="32"/>
          <w:color w:val="auto"/>
        </w:rPr>
      </w:pPr>
    </w:p>
    <w:p>
      <w:pPr>
        <w:ind w:left="900"/>
        <w:spacing w:after="0" w:line="366" w:lineRule="exact"/>
        <w:rPr>
          <w:rFonts w:ascii="Arial" w:cs="Arial" w:eastAsia="Arial" w:hAnsi="Arial"/>
          <w:sz w:val="32"/>
          <w:szCs w:val="32"/>
          <w:color w:val="auto"/>
        </w:rPr>
      </w:pPr>
      <w:r>
        <w:rPr>
          <w:rFonts w:ascii="宋体" w:cs="宋体" w:eastAsia="宋体" w:hAnsi="宋体"/>
          <w:sz w:val="32"/>
          <w:szCs w:val="32"/>
          <w:color w:val="auto"/>
        </w:rPr>
        <w:t>（一）资产核实人员组织、实施时间和过程。</w:t>
      </w:r>
    </w:p>
    <w:p>
      <w:pPr>
        <w:sectPr>
          <w:pgSz w:w="11900" w:h="16838" w:orient="portrait"/>
          <w:cols w:equalWidth="0" w:num="1">
            <w:col w:w="9220"/>
          </w:cols>
          <w:pgMar w:left="1440" w:top="1440" w:right="1246" w:bottom="998" w:gutter="0" w:footer="0" w:header="0"/>
        </w:sectPr>
      </w:pPr>
    </w:p>
    <w:bookmarkStart w:id="29" w:name="page30"/>
    <w:bookmarkEnd w:id="29"/>
    <w:p>
      <w:pPr>
        <w:spacing w:after="0" w:line="366"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（二）影响资产核实的事项及处理方法。</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．一般包括资产性能的限制、存放地点的限制、诉讼保全</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的限制、技术性能的局限、涉及商业秘密和国家秘密，以及评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估基准日时正在进行的大修理、改扩建情况等。</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2</w:t>
      </w:r>
      <w:r>
        <w:rPr>
          <w:rFonts w:ascii="宋体" w:cs="宋体" w:eastAsia="宋体" w:hAnsi="宋体"/>
          <w:sz w:val="31"/>
          <w:szCs w:val="31"/>
          <w:color w:val="auto"/>
        </w:rPr>
        <w:t>．对于不能采用现场调查方式直接核实的资产，应当说明</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原因、涉及范围及处理方法。</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（三）核实结论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．资产核实结论。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．资产核实结果是否与账面记录存在差异及其程度。</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．权属资料不完善等权属不清晰的资产。</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．企业申报的账外资产的核实结论。</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三、评估技术说明</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（一）资产基础法或者成本法</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采用成本法评估单项资产或者资产组合、采用资产基础法</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评估企业价值，应当根据评估业务的具体情况，以及资产负债</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类型，编写评估技术说明。各资产负债评估技术说明应当包含</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资产负债的内容和金额、核实方法、评估值确定的方法和结果</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等基本内容。</w:t>
      </w:r>
    </w:p>
    <w:p>
      <w:pPr>
        <w:spacing w:after="0" w:line="271"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常见的资产负债类型，评估技术说明编写内容指引如下。</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．货币资金</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）货币资金的内容（包括库存现金、银行存款及其他货</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币资金）和金额。</w:t>
      </w:r>
    </w:p>
    <w:p>
      <w:pPr>
        <w:sectPr>
          <w:pgSz w:w="11900" w:h="16838" w:orient="portrait"/>
          <w:cols w:equalWidth="0" w:num="1">
            <w:col w:w="9026"/>
          </w:cols>
          <w:pgMar w:left="1440" w:top="1440" w:right="1440" w:bottom="998" w:gutter="0" w:footer="0" w:header="0"/>
        </w:sectPr>
      </w:pPr>
    </w:p>
    <w:bookmarkStart w:id="30" w:name="page31"/>
    <w:bookmarkEnd w:id="30"/>
    <w:p>
      <w:pPr>
        <w:spacing w:after="0" w:line="343"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）现金存放地点、核实方法和过程。</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）查阅银行对账单、银行余额调节表的情况；银行账户</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函证情况及不符情况下的处理方式；并说明未达账项（如存在）</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是否影响净资产及其金额。</w:t>
      </w:r>
    </w:p>
    <w:p>
      <w:pPr>
        <w:spacing w:after="0" w:line="260" w:lineRule="exact"/>
        <w:rPr>
          <w:sz w:val="20"/>
          <w:szCs w:val="20"/>
          <w:color w:val="auto"/>
        </w:rPr>
      </w:pPr>
    </w:p>
    <w:p>
      <w:pPr>
        <w:ind w:left="900"/>
        <w:spacing w:after="0" w:line="364" w:lineRule="exact"/>
        <w:rPr>
          <w:sz w:val="20"/>
          <w:szCs w:val="20"/>
          <w:color w:val="auto"/>
        </w:rPr>
      </w:pPr>
      <w:r>
        <w:rPr>
          <w:rFonts w:ascii="宋体" w:cs="宋体" w:eastAsia="宋体" w:hAnsi="宋体"/>
          <w:sz w:val="30"/>
          <w:szCs w:val="30"/>
          <w:color w:val="auto"/>
        </w:rPr>
        <w:t>（</w:t>
      </w:r>
      <w:r>
        <w:rPr>
          <w:rFonts w:ascii="Arial" w:cs="Arial" w:eastAsia="Arial" w:hAnsi="Arial"/>
          <w:sz w:val="30"/>
          <w:szCs w:val="30"/>
          <w:color w:val="auto"/>
        </w:rPr>
        <w:t>4</w:t>
      </w:r>
      <w:r>
        <w:rPr>
          <w:rFonts w:ascii="宋体" w:cs="宋体" w:eastAsia="宋体" w:hAnsi="宋体"/>
          <w:sz w:val="30"/>
          <w:szCs w:val="30"/>
          <w:color w:val="auto"/>
        </w:rPr>
        <w:t>）其他货币资金的类型（银行汇票存款、银行本票存款、</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信用卡存款、信用证保证金存款、存出投资款、外埠存款等）</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及核实方法、评估值确定的方法。</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5</w:t>
      </w:r>
      <w:r>
        <w:rPr>
          <w:rFonts w:ascii="宋体" w:cs="宋体" w:eastAsia="宋体" w:hAnsi="宋体"/>
          <w:sz w:val="31"/>
          <w:szCs w:val="31"/>
          <w:color w:val="auto"/>
        </w:rPr>
        <w:t>）如果现金出现负数，应当说明原因及评估处理方式。</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6</w:t>
      </w:r>
      <w:r>
        <w:rPr>
          <w:rFonts w:ascii="宋体" w:cs="宋体" w:eastAsia="宋体" w:hAnsi="宋体"/>
          <w:sz w:val="32"/>
          <w:szCs w:val="32"/>
          <w:color w:val="auto"/>
        </w:rPr>
        <w:t>）评估结果及差异。</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．交易性金融资产</w:t>
      </w:r>
    </w:p>
    <w:p>
      <w:pPr>
        <w:spacing w:after="0" w:line="307" w:lineRule="exact"/>
        <w:rPr>
          <w:sz w:val="20"/>
          <w:szCs w:val="20"/>
          <w:color w:val="auto"/>
        </w:rPr>
      </w:pPr>
    </w:p>
    <w:p>
      <w:pPr>
        <w:jc w:val="both"/>
        <w:ind w:left="260" w:right="160" w:firstLine="641"/>
        <w:spacing w:after="0" w:line="522"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）交易性金融资产的种类（包括企业为交易目的所持有的债券、股票、基金及其他交易性金融资产等）、形成时间及对应的金额。</w:t>
      </w:r>
    </w:p>
    <w:p>
      <w:pPr>
        <w:spacing w:after="0" w:line="238"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）交易性金融资产的核实方法和结果。</w:t>
      </w:r>
    </w:p>
    <w:p>
      <w:pPr>
        <w:spacing w:after="0" w:line="307" w:lineRule="exact"/>
        <w:rPr>
          <w:sz w:val="20"/>
          <w:szCs w:val="20"/>
          <w:color w:val="auto"/>
        </w:rPr>
      </w:pPr>
    </w:p>
    <w:p>
      <w:pPr>
        <w:jc w:val="both"/>
        <w:ind w:left="260" w:right="160" w:firstLine="641"/>
        <w:spacing w:after="0" w:line="471"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）交易性金融资产公允价值的形成，以及交易性金融资产的变现能力。</w:t>
      </w:r>
    </w:p>
    <w:p>
      <w:pPr>
        <w:spacing w:after="0" w:line="308" w:lineRule="exact"/>
        <w:rPr>
          <w:sz w:val="20"/>
          <w:szCs w:val="20"/>
          <w:color w:val="auto"/>
        </w:rPr>
      </w:pPr>
    </w:p>
    <w:p>
      <w:pPr>
        <w:jc w:val="both"/>
        <w:ind w:left="260" w:right="160" w:firstLine="641"/>
        <w:spacing w:after="0" w:line="54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）上市交易的债券、股票、基金应当说明评估基准日前后一段时间内的交易价格、持有量及评估计算过程；非上市的债券、股票、基金应当说明票面利率或者约定利率及评估计算过程。</w:t>
      </w:r>
    </w:p>
    <w:p>
      <w:pPr>
        <w:spacing w:after="0" w:line="307" w:lineRule="exact"/>
        <w:rPr>
          <w:sz w:val="20"/>
          <w:szCs w:val="20"/>
          <w:color w:val="auto"/>
        </w:rPr>
      </w:pPr>
    </w:p>
    <w:p>
      <w:pPr>
        <w:ind w:left="260" w:firstLine="641"/>
        <w:spacing w:after="0" w:line="471"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）交易性金融资产公允价值与评估价值类型的一致性，并说明评估值确定的方法和结果。</w:t>
      </w:r>
    </w:p>
    <w:p>
      <w:pPr>
        <w:sectPr>
          <w:pgSz w:w="11900" w:h="16838" w:orient="portrait"/>
          <w:cols w:equalWidth="0" w:num="1">
            <w:col w:w="9060"/>
          </w:cols>
          <w:pgMar w:left="1440" w:top="1440" w:right="1406" w:bottom="998" w:gutter="0" w:footer="0" w:header="0"/>
        </w:sectPr>
      </w:pPr>
    </w:p>
    <w:bookmarkStart w:id="31" w:name="page32"/>
    <w:bookmarkEnd w:id="31"/>
    <w:p>
      <w:pPr>
        <w:spacing w:after="0" w:line="343"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．应收票据</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）应收票据的种类（银行承兑汇票和商业承兑汇票）和</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金额。</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2</w:t>
      </w:r>
      <w:r>
        <w:rPr>
          <w:rFonts w:ascii="宋体" w:cs="宋体" w:eastAsia="宋体" w:hAnsi="宋体"/>
          <w:sz w:val="31"/>
          <w:szCs w:val="31"/>
          <w:color w:val="auto"/>
        </w:rPr>
        <w:t>）查阅票据凭证过程及结果，已变现应收票据的数额。</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）可能形成坏账的应收票据的判断依据及评估值的确定</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过程及结论；并列示已成为坏账应收票据的证据。</w:t>
      </w:r>
    </w:p>
    <w:p>
      <w:pPr>
        <w:spacing w:after="0" w:line="249"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4</w:t>
      </w:r>
      <w:r>
        <w:rPr>
          <w:rFonts w:ascii="宋体" w:cs="宋体" w:eastAsia="宋体" w:hAnsi="宋体"/>
          <w:sz w:val="31"/>
          <w:szCs w:val="31"/>
          <w:color w:val="auto"/>
        </w:rPr>
        <w:t>．应收账款、应收股利、应收利息、预付账款和其他应收</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款</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）应收账款、应收股利、应收利息、预付账款和其他应</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收款的主要业务内容和对应金额。</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2</w:t>
      </w:r>
      <w:r>
        <w:rPr>
          <w:rFonts w:ascii="宋体" w:cs="宋体" w:eastAsia="宋体" w:hAnsi="宋体"/>
          <w:sz w:val="31"/>
          <w:szCs w:val="31"/>
          <w:color w:val="auto"/>
        </w:rPr>
        <w:t>）应收账款、应收股利、应收利息、预付账款和其他应</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收款核实的方法及结果。</w:t>
      </w:r>
    </w:p>
    <w:p>
      <w:pPr>
        <w:spacing w:after="0" w:line="249"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）应收账款、应收股利、应收利息、预付账款和其他应</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收款发生时间和原因，收回的可能性的判断过程及结果。</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）可能形成坏账款项的判断依据及评估值确定的过程及</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结论；并列示已成为坏账的应收账款、应收股利、应收利息、</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预付账款和其他应收款的证据。</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）坏账准备的评估处理。</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．存货</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）存货的种类、金额等。应当分别按材料采购（在途物</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资）、原材料、在库周转材料、委托加工物资、产成品（库存商</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品）、在产品（自制半成品）、发出商品、在用周转材料等进行</w:t>
      </w:r>
    </w:p>
    <w:p>
      <w:pPr>
        <w:sectPr>
          <w:pgSz w:w="11900" w:h="16838" w:orient="portrait"/>
          <w:cols w:equalWidth="0" w:num="1">
            <w:col w:w="9060"/>
          </w:cols>
          <w:pgMar w:left="1440" w:top="1440" w:right="1406" w:bottom="998" w:gutter="0" w:footer="0" w:header="0"/>
        </w:sectPr>
      </w:pPr>
    </w:p>
    <w:bookmarkStart w:id="32" w:name="page33"/>
    <w:bookmarkEnd w:id="32"/>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说明。</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）存货数量和品质核实的方法、过程和结论。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）外购存货账面记录的构成，并分析构成的合理性，说</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明市场价格的查询情况。</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）自制存货的销售成本费用率及相关税费额或者比率的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确定方法和数额。</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）对外销售存货的适销程度及判断理由。</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6</w:t>
      </w:r>
      <w:r>
        <w:rPr>
          <w:rFonts w:ascii="宋体" w:cs="宋体" w:eastAsia="宋体" w:hAnsi="宋体"/>
          <w:sz w:val="32"/>
          <w:szCs w:val="32"/>
          <w:color w:val="auto"/>
        </w:rPr>
        <w:t>）在用存货成新率的确定方法。</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7</w:t>
      </w:r>
      <w:r>
        <w:rPr>
          <w:rFonts w:ascii="宋体" w:cs="宋体" w:eastAsia="宋体" w:hAnsi="宋体"/>
          <w:sz w:val="31"/>
          <w:szCs w:val="31"/>
          <w:color w:val="auto"/>
        </w:rPr>
        <w:t>）失效、变质、残损、无用等存货的可变现价值的判断</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过程和结论，或者技术鉴定（如需要）情况及可变现价值的判</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断情况。技术鉴定应当说明鉴定方法及鉴定结论。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．一年内到期的非流动资产</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）一年内到期的非流动资产的内容和金额。</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）一年内到期的非流动资产核实的方法和结论。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）一年内到期的非流动资产评估值确定的方法和结论。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7</w:t>
      </w:r>
      <w:r>
        <w:rPr>
          <w:rFonts w:ascii="宋体" w:cs="宋体" w:eastAsia="宋体" w:hAnsi="宋体"/>
          <w:sz w:val="32"/>
          <w:szCs w:val="32"/>
          <w:color w:val="auto"/>
        </w:rPr>
        <w:t>．其他流动资产</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）其他流动资产的内容和金额。</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）其他流动资产核实的方法和结论。</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）其他流动资产评估值确定的方法和结论。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8</w:t>
      </w:r>
      <w:r>
        <w:rPr>
          <w:rFonts w:ascii="宋体" w:cs="宋体" w:eastAsia="宋体" w:hAnsi="宋体"/>
          <w:sz w:val="32"/>
          <w:szCs w:val="32"/>
          <w:color w:val="auto"/>
        </w:rPr>
        <w:t>．可供出售金融资产</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）可供出售金融资产的种类（股票投资、债券投资、其</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他投资）、发生时间和对应金额。</w:t>
      </w:r>
    </w:p>
    <w:p>
      <w:pPr>
        <w:sectPr>
          <w:pgSz w:w="11900" w:h="16838" w:orient="portrait"/>
          <w:cols w:equalWidth="0" w:num="1">
            <w:col w:w="9060"/>
          </w:cols>
          <w:pgMar w:left="1440" w:top="1440" w:right="1406" w:bottom="998" w:gutter="0" w:footer="0" w:header="0"/>
        </w:sectPr>
      </w:pPr>
    </w:p>
    <w:bookmarkStart w:id="33" w:name="page34"/>
    <w:bookmarkEnd w:id="33"/>
    <w:p>
      <w:pPr>
        <w:spacing w:after="0" w:line="343"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）可供出售金融资产核实的方法和结论。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）可供出售金融资产公允价值与评估价值类型的一致性，</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并说明评估值确定的方法和结论。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9</w:t>
      </w:r>
      <w:r>
        <w:rPr>
          <w:rFonts w:ascii="宋体" w:cs="宋体" w:eastAsia="宋体" w:hAnsi="宋体"/>
          <w:sz w:val="32"/>
          <w:szCs w:val="32"/>
          <w:color w:val="auto"/>
        </w:rPr>
        <w:t>．持有至到期投资</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）持有至到期投资的内容和金额。</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）持有至到期投资核实的方法和结论。</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）持有至到期投资可收回金额的判断理由，并说明评估</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值确定的方法、过程和结论。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10</w:t>
      </w:r>
      <w:r>
        <w:rPr>
          <w:rFonts w:ascii="宋体" w:cs="宋体" w:eastAsia="宋体" w:hAnsi="宋体"/>
          <w:sz w:val="32"/>
          <w:szCs w:val="32"/>
          <w:color w:val="auto"/>
        </w:rPr>
        <w:t>．长期应收款</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）长期应收款的内容和金额。</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）长期应收款核实的方法和结论。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）长期应收款评估值确定的方法和结论。</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）无法收回的长期应收款的判断理由和依据。</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）坏账准备的评估处理。</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11</w:t>
      </w:r>
      <w:r>
        <w:rPr>
          <w:rFonts w:ascii="宋体" w:cs="宋体" w:eastAsia="宋体" w:hAnsi="宋体"/>
          <w:sz w:val="32"/>
          <w:szCs w:val="32"/>
          <w:color w:val="auto"/>
        </w:rPr>
        <w:t>．长期股权投资</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）长期股权投资的内容和金额。</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）长期股权投资核实的内容（投资日期、持股比例、投</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资协议等）、方法和结论。</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）控股长期股权投资，应当说明对被投资企业的企业价</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值进行评估的情况以及评估结论，并说明控股长期股权投资评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）非控股长期股权投资，应当按投资项目分别说明非控</w:t>
      </w:r>
    </w:p>
    <w:p>
      <w:pPr>
        <w:sectPr>
          <w:pgSz w:w="11900" w:h="16838" w:orient="portrait"/>
          <w:cols w:equalWidth="0" w:num="1">
            <w:col w:w="9220"/>
          </w:cols>
          <w:pgMar w:left="1440" w:top="1440" w:right="1246" w:bottom="998" w:gutter="0" w:footer="0" w:header="0"/>
        </w:sectPr>
      </w:pPr>
    </w:p>
    <w:bookmarkStart w:id="34" w:name="page35"/>
    <w:bookmarkEnd w:id="34"/>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股长期股权投资评估值确定的方法和结论。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12</w:t>
      </w:r>
      <w:r>
        <w:rPr>
          <w:rFonts w:ascii="宋体" w:cs="宋体" w:eastAsia="宋体" w:hAnsi="宋体"/>
          <w:sz w:val="32"/>
          <w:szCs w:val="32"/>
          <w:color w:val="auto"/>
        </w:rPr>
        <w:t>．投资性房地产</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）投资性房地产的种类、内容和金额。</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2</w:t>
      </w:r>
      <w:r>
        <w:rPr>
          <w:rFonts w:ascii="宋体" w:cs="宋体" w:eastAsia="宋体" w:hAnsi="宋体"/>
          <w:sz w:val="31"/>
          <w:szCs w:val="31"/>
          <w:color w:val="auto"/>
        </w:rPr>
        <w:t>）投资性房地产核实的方法和结论。并应当说明投资性</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房地产权属资料的查验情况、租赁合同约定的租金、租赁期限</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等内容。</w:t>
      </w:r>
    </w:p>
    <w:p>
      <w:pPr>
        <w:spacing w:after="0" w:line="249"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）采用收益法评估投资性房地产，应当说明现实租赁合</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同约定的租金、租赁期限，租赁合同到期后租金的确定方法，</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折现率确定方法和结论，评估值确定的方法和结论；采用市场</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法评估投资性房地产，应当说明可比交易实例的选取、可比因</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素比较调整、评估值确定的方法和结论。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）公允价值计量的投资性房地产，应当说明评估值与公</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允价值及其变动的差异及原因。</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13</w:t>
      </w:r>
      <w:r>
        <w:rPr>
          <w:rFonts w:ascii="宋体" w:cs="宋体" w:eastAsia="宋体" w:hAnsi="宋体"/>
          <w:sz w:val="32"/>
          <w:szCs w:val="32"/>
          <w:color w:val="auto"/>
        </w:rPr>
        <w:t>．固定资产</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）机器设备类固定资产。</w:t>
      </w:r>
    </w:p>
    <w:p>
      <w:pPr>
        <w:spacing w:after="0" w:line="307" w:lineRule="exact"/>
        <w:rPr>
          <w:sz w:val="20"/>
          <w:szCs w:val="20"/>
          <w:color w:val="auto"/>
        </w:rPr>
      </w:pPr>
    </w:p>
    <w:p>
      <w:pPr>
        <w:ind w:left="260" w:right="126" w:firstLine="643"/>
        <w:spacing w:after="0" w:line="471" w:lineRule="exact"/>
        <w:tabs>
          <w:tab w:leader="none" w:pos="1381" w:val="left"/>
        </w:tabs>
        <w:numPr>
          <w:ilvl w:val="0"/>
          <w:numId w:val="2"/>
        </w:numPr>
        <w:rPr>
          <w:rFonts w:ascii="Arial" w:cs="Arial" w:eastAsia="Arial" w:hAnsi="Arial"/>
          <w:sz w:val="32"/>
          <w:szCs w:val="32"/>
          <w:color w:val="auto"/>
        </w:rPr>
      </w:pPr>
      <w:r>
        <w:rPr>
          <w:rFonts w:ascii="宋体" w:cs="宋体" w:eastAsia="宋体" w:hAnsi="宋体"/>
          <w:sz w:val="32"/>
          <w:szCs w:val="32"/>
          <w:color w:val="auto"/>
        </w:rPr>
        <w:t>机器设备类固定资产的数量、账面原值、账面净值、减值准备等。</w:t>
      </w:r>
    </w:p>
    <w:p>
      <w:pPr>
        <w:spacing w:after="0" w:line="306" w:lineRule="exact"/>
        <w:rPr>
          <w:rFonts w:ascii="Arial" w:cs="Arial" w:eastAsia="Arial" w:hAnsi="Arial"/>
          <w:sz w:val="32"/>
          <w:szCs w:val="32"/>
          <w:color w:val="auto"/>
        </w:rPr>
      </w:pPr>
    </w:p>
    <w:p>
      <w:pPr>
        <w:jc w:val="both"/>
        <w:ind w:left="260" w:right="126" w:firstLine="643"/>
        <w:spacing w:after="0" w:line="471" w:lineRule="exact"/>
        <w:tabs>
          <w:tab w:leader="none" w:pos="1381" w:val="left"/>
        </w:tabs>
        <w:numPr>
          <w:ilvl w:val="0"/>
          <w:numId w:val="2"/>
        </w:numPr>
        <w:rPr>
          <w:rFonts w:ascii="Arial" w:cs="Arial" w:eastAsia="Arial" w:hAnsi="Arial"/>
          <w:sz w:val="30"/>
          <w:szCs w:val="30"/>
          <w:color w:val="auto"/>
        </w:rPr>
      </w:pPr>
      <w:r>
        <w:rPr>
          <w:rFonts w:ascii="宋体" w:cs="宋体" w:eastAsia="宋体" w:hAnsi="宋体"/>
          <w:sz w:val="30"/>
          <w:szCs w:val="30"/>
          <w:color w:val="auto"/>
        </w:rPr>
        <w:t>机器设备类固定资产的特点、购置日期、类别、工艺流程、技术状况、日常维护和管理制度、折旧及计提减值政策等。</w:t>
      </w:r>
    </w:p>
    <w:p>
      <w:pPr>
        <w:spacing w:after="0" w:line="236" w:lineRule="exact"/>
        <w:rPr>
          <w:rFonts w:ascii="Arial" w:cs="Arial" w:eastAsia="Arial" w:hAnsi="Arial"/>
          <w:sz w:val="30"/>
          <w:szCs w:val="30"/>
          <w:color w:val="auto"/>
        </w:rPr>
      </w:pPr>
    </w:p>
    <w:p>
      <w:pPr>
        <w:ind w:left="1380" w:hanging="477"/>
        <w:spacing w:after="0" w:line="388" w:lineRule="exact"/>
        <w:tabs>
          <w:tab w:leader="none" w:pos="1380" w:val="left"/>
        </w:tabs>
        <w:numPr>
          <w:ilvl w:val="0"/>
          <w:numId w:val="2"/>
        </w:numPr>
        <w:rPr>
          <w:rFonts w:ascii="Arial" w:cs="Arial" w:eastAsia="Arial" w:hAnsi="Arial"/>
          <w:sz w:val="32"/>
          <w:szCs w:val="32"/>
          <w:color w:val="auto"/>
        </w:rPr>
      </w:pPr>
      <w:r>
        <w:rPr>
          <w:rFonts w:ascii="宋体" w:cs="宋体" w:eastAsia="宋体" w:hAnsi="宋体"/>
          <w:sz w:val="32"/>
          <w:szCs w:val="32"/>
          <w:color w:val="auto"/>
        </w:rPr>
        <w:t>机器设备类固定资产核实的方法和结论。</w:t>
      </w:r>
    </w:p>
    <w:p>
      <w:pPr>
        <w:spacing w:after="0" w:line="306" w:lineRule="exact"/>
        <w:rPr>
          <w:rFonts w:ascii="Arial" w:cs="Arial" w:eastAsia="Arial" w:hAnsi="Arial"/>
          <w:sz w:val="32"/>
          <w:szCs w:val="32"/>
          <w:color w:val="auto"/>
        </w:rPr>
      </w:pPr>
    </w:p>
    <w:p>
      <w:pPr>
        <w:ind w:left="260" w:right="126" w:firstLine="643"/>
        <w:spacing w:after="0" w:line="471" w:lineRule="exact"/>
        <w:tabs>
          <w:tab w:leader="none" w:pos="1381" w:val="left"/>
        </w:tabs>
        <w:numPr>
          <w:ilvl w:val="0"/>
          <w:numId w:val="2"/>
        </w:numPr>
        <w:rPr>
          <w:rFonts w:ascii="Arial" w:cs="Arial" w:eastAsia="Arial" w:hAnsi="Arial"/>
          <w:sz w:val="32"/>
          <w:szCs w:val="32"/>
          <w:color w:val="auto"/>
        </w:rPr>
      </w:pPr>
      <w:r>
        <w:rPr>
          <w:rFonts w:ascii="宋体" w:cs="宋体" w:eastAsia="宋体" w:hAnsi="宋体"/>
          <w:sz w:val="32"/>
          <w:szCs w:val="32"/>
          <w:color w:val="auto"/>
        </w:rPr>
        <w:t>评估方法选取的依据和理由，并列示主要计算公式、参数涵义及参数确定的方法。</w:t>
      </w:r>
    </w:p>
    <w:p>
      <w:pPr>
        <w:sectPr>
          <w:pgSz w:w="11900" w:h="16838" w:orient="portrait"/>
          <w:cols w:equalWidth="0" w:num="1">
            <w:col w:w="9026"/>
          </w:cols>
          <w:pgMar w:left="1440" w:top="1440" w:right="1440" w:bottom="998" w:gutter="0" w:footer="0" w:header="0"/>
        </w:sectPr>
      </w:pPr>
    </w:p>
    <w:bookmarkStart w:id="35" w:name="page36"/>
    <w:bookmarkEnd w:id="35"/>
    <w:p>
      <w:pPr>
        <w:spacing w:after="0" w:line="200" w:lineRule="exact"/>
        <w:rPr>
          <w:sz w:val="20"/>
          <w:szCs w:val="20"/>
          <w:color w:val="auto"/>
        </w:rPr>
      </w:pPr>
    </w:p>
    <w:p>
      <w:pPr>
        <w:spacing w:after="0" w:line="214" w:lineRule="exact"/>
        <w:rPr>
          <w:sz w:val="20"/>
          <w:szCs w:val="20"/>
          <w:color w:val="auto"/>
        </w:rPr>
      </w:pPr>
    </w:p>
    <w:p>
      <w:pPr>
        <w:jc w:val="both"/>
        <w:ind w:left="260" w:right="126" w:firstLine="643"/>
        <w:spacing w:after="0" w:line="547" w:lineRule="exact"/>
        <w:tabs>
          <w:tab w:leader="none" w:pos="1381" w:val="left"/>
        </w:tabs>
        <w:numPr>
          <w:ilvl w:val="0"/>
          <w:numId w:val="3"/>
        </w:numPr>
        <w:rPr>
          <w:rFonts w:ascii="Arial" w:cs="Arial" w:eastAsia="Arial" w:hAnsi="Arial"/>
          <w:sz w:val="32"/>
          <w:szCs w:val="32"/>
          <w:color w:val="auto"/>
        </w:rPr>
      </w:pPr>
      <w:r>
        <w:rPr>
          <w:rFonts w:ascii="宋体" w:cs="宋体" w:eastAsia="宋体" w:hAnsi="宋体"/>
          <w:sz w:val="32"/>
          <w:szCs w:val="32"/>
          <w:color w:val="auto"/>
        </w:rPr>
        <w:t>采用成本法评估，应当说明重置全价的构成、各费用项目的测算过程、采用的价格和费用标准等；说明设备成新状况（或者增值贬值因素）以及进行量化的方法及依据。对于待修理设备，应当说明修复的可能性及预计费用。</w:t>
      </w:r>
    </w:p>
    <w:p>
      <w:pPr>
        <w:spacing w:after="0" w:line="308" w:lineRule="exact"/>
        <w:rPr>
          <w:rFonts w:ascii="Arial" w:cs="Arial" w:eastAsia="Arial" w:hAnsi="Arial"/>
          <w:sz w:val="32"/>
          <w:szCs w:val="32"/>
          <w:color w:val="auto"/>
        </w:rPr>
      </w:pPr>
    </w:p>
    <w:p>
      <w:pPr>
        <w:jc w:val="both"/>
        <w:ind w:left="260" w:right="126" w:firstLine="643"/>
        <w:spacing w:after="0" w:line="522" w:lineRule="exact"/>
        <w:tabs>
          <w:tab w:leader="none" w:pos="1381" w:val="left"/>
        </w:tabs>
        <w:numPr>
          <w:ilvl w:val="0"/>
          <w:numId w:val="3"/>
        </w:numPr>
        <w:rPr>
          <w:rFonts w:ascii="Arial" w:cs="Arial" w:eastAsia="Arial" w:hAnsi="Arial"/>
          <w:sz w:val="32"/>
          <w:szCs w:val="32"/>
          <w:color w:val="auto"/>
        </w:rPr>
      </w:pPr>
      <w:r>
        <w:rPr>
          <w:rFonts w:ascii="宋体" w:cs="宋体" w:eastAsia="宋体" w:hAnsi="宋体"/>
          <w:sz w:val="32"/>
          <w:szCs w:val="32"/>
          <w:color w:val="auto"/>
        </w:rPr>
        <w:t>采用收益法（对可单独获利的机器设备）评估，应当说明其收益状况及收益额预测过程和结论，折现率确定的方法及结论。</w:t>
      </w:r>
    </w:p>
    <w:p>
      <w:pPr>
        <w:spacing w:after="0" w:line="307" w:lineRule="exact"/>
        <w:rPr>
          <w:rFonts w:ascii="Arial" w:cs="Arial" w:eastAsia="Arial" w:hAnsi="Arial"/>
          <w:sz w:val="32"/>
          <w:szCs w:val="32"/>
          <w:color w:val="auto"/>
        </w:rPr>
      </w:pPr>
    </w:p>
    <w:p>
      <w:pPr>
        <w:ind w:left="260" w:right="126" w:firstLine="643"/>
        <w:spacing w:after="0" w:line="471" w:lineRule="exact"/>
        <w:tabs>
          <w:tab w:leader="none" w:pos="1381" w:val="left"/>
        </w:tabs>
        <w:numPr>
          <w:ilvl w:val="0"/>
          <w:numId w:val="3"/>
        </w:numPr>
        <w:rPr>
          <w:rFonts w:ascii="Arial" w:cs="Arial" w:eastAsia="Arial" w:hAnsi="Arial"/>
          <w:sz w:val="32"/>
          <w:szCs w:val="32"/>
          <w:color w:val="auto"/>
        </w:rPr>
      </w:pPr>
      <w:r>
        <w:rPr>
          <w:rFonts w:ascii="宋体" w:cs="宋体" w:eastAsia="宋体" w:hAnsi="宋体"/>
          <w:sz w:val="32"/>
          <w:szCs w:val="32"/>
          <w:color w:val="auto"/>
        </w:rPr>
        <w:t>采用市场法（对存在活跃二手设备市场的机器设备）评估，应当说明交易价格的基本内涵、交易时间等情况。</w:t>
      </w:r>
    </w:p>
    <w:p>
      <w:pPr>
        <w:spacing w:after="0" w:line="306" w:lineRule="exact"/>
        <w:rPr>
          <w:rFonts w:ascii="Arial" w:cs="Arial" w:eastAsia="Arial" w:hAnsi="Arial"/>
          <w:sz w:val="32"/>
          <w:szCs w:val="32"/>
          <w:color w:val="auto"/>
        </w:rPr>
      </w:pPr>
    </w:p>
    <w:p>
      <w:pPr>
        <w:jc w:val="both"/>
        <w:ind w:left="260" w:right="126" w:firstLine="643"/>
        <w:spacing w:after="0" w:line="522" w:lineRule="exact"/>
        <w:tabs>
          <w:tab w:leader="none" w:pos="1381" w:val="left"/>
        </w:tabs>
        <w:numPr>
          <w:ilvl w:val="0"/>
          <w:numId w:val="3"/>
        </w:numPr>
        <w:rPr>
          <w:rFonts w:ascii="Arial" w:cs="Arial" w:eastAsia="Arial" w:hAnsi="Arial"/>
          <w:sz w:val="32"/>
          <w:szCs w:val="32"/>
          <w:color w:val="auto"/>
        </w:rPr>
      </w:pPr>
      <w:r>
        <w:rPr>
          <w:rFonts w:ascii="宋体" w:cs="宋体" w:eastAsia="宋体" w:hAnsi="宋体"/>
          <w:sz w:val="32"/>
          <w:szCs w:val="32"/>
          <w:color w:val="auto"/>
        </w:rPr>
        <w:t>根据评估业务的具体情况，应当选择典型设备（一般指单台金额大、技术典型的设备）举例说明评估参数的测算和判断以及评估值确定的方法、过程和结论。</w:t>
      </w:r>
    </w:p>
    <w:p>
      <w:pPr>
        <w:spacing w:after="0" w:line="307" w:lineRule="exact"/>
        <w:rPr>
          <w:rFonts w:ascii="Arial" w:cs="Arial" w:eastAsia="Arial" w:hAnsi="Arial"/>
          <w:sz w:val="32"/>
          <w:szCs w:val="32"/>
          <w:color w:val="auto"/>
        </w:rPr>
      </w:pPr>
    </w:p>
    <w:p>
      <w:pPr>
        <w:ind w:left="260" w:right="126" w:firstLine="643"/>
        <w:spacing w:after="0" w:line="471" w:lineRule="exact"/>
        <w:tabs>
          <w:tab w:leader="none" w:pos="1381" w:val="left"/>
        </w:tabs>
        <w:numPr>
          <w:ilvl w:val="0"/>
          <w:numId w:val="3"/>
        </w:numPr>
        <w:rPr>
          <w:rFonts w:ascii="Arial" w:cs="Arial" w:eastAsia="Arial" w:hAnsi="Arial"/>
          <w:sz w:val="32"/>
          <w:szCs w:val="32"/>
          <w:color w:val="auto"/>
        </w:rPr>
      </w:pPr>
      <w:r>
        <w:rPr>
          <w:rFonts w:ascii="宋体" w:cs="宋体" w:eastAsia="宋体" w:hAnsi="宋体"/>
          <w:sz w:val="32"/>
          <w:szCs w:val="32"/>
          <w:color w:val="auto"/>
        </w:rPr>
        <w:t>对于精密、大型、高价的设备，应当说明技术和使用状况；对于报废的设备，应当说明变现的可能性。</w:t>
      </w:r>
    </w:p>
    <w:p>
      <w:pPr>
        <w:spacing w:after="0" w:line="306" w:lineRule="exact"/>
        <w:rPr>
          <w:rFonts w:ascii="Arial" w:cs="Arial" w:eastAsia="Arial" w:hAnsi="Arial"/>
          <w:sz w:val="32"/>
          <w:szCs w:val="32"/>
          <w:color w:val="auto"/>
        </w:rPr>
      </w:pPr>
    </w:p>
    <w:p>
      <w:pPr>
        <w:jc w:val="both"/>
        <w:ind w:left="260" w:right="126" w:firstLine="643"/>
        <w:spacing w:after="0" w:line="522" w:lineRule="exact"/>
        <w:tabs>
          <w:tab w:leader="none" w:pos="1542" w:val="left"/>
        </w:tabs>
        <w:numPr>
          <w:ilvl w:val="0"/>
          <w:numId w:val="3"/>
        </w:numPr>
        <w:rPr>
          <w:rFonts w:ascii="Arial" w:cs="Arial" w:eastAsia="Arial" w:hAnsi="Arial"/>
          <w:sz w:val="32"/>
          <w:szCs w:val="32"/>
          <w:color w:val="auto"/>
        </w:rPr>
      </w:pPr>
      <w:r>
        <w:rPr>
          <w:rFonts w:ascii="宋体" w:cs="宋体" w:eastAsia="宋体" w:hAnsi="宋体"/>
          <w:sz w:val="32"/>
          <w:szCs w:val="32"/>
          <w:color w:val="auto"/>
        </w:rPr>
        <w:t>对于国家强制淘汰、报废的设备，受火灾、水灾或者地震等其他因素导致设备严重毁损的情况，应当特别提示，并说明改变用途使用和原用途继续使用的可能性。</w:t>
      </w:r>
    </w:p>
    <w:p>
      <w:pPr>
        <w:spacing w:after="0" w:line="248" w:lineRule="exact"/>
        <w:rPr>
          <w:rFonts w:ascii="Arial" w:cs="Arial" w:eastAsia="Arial" w:hAnsi="Arial"/>
          <w:sz w:val="32"/>
          <w:szCs w:val="32"/>
          <w:color w:val="auto"/>
        </w:rPr>
      </w:pPr>
    </w:p>
    <w:p>
      <w:pPr>
        <w:ind w:left="1540" w:hanging="637"/>
        <w:spacing w:after="0" w:line="376" w:lineRule="exact"/>
        <w:tabs>
          <w:tab w:leader="none" w:pos="1540" w:val="left"/>
        </w:tabs>
        <w:numPr>
          <w:ilvl w:val="0"/>
          <w:numId w:val="3"/>
        </w:numPr>
        <w:rPr>
          <w:rFonts w:ascii="Arial" w:cs="Arial" w:eastAsia="Arial" w:hAnsi="Arial"/>
          <w:sz w:val="31"/>
          <w:szCs w:val="31"/>
          <w:color w:val="auto"/>
        </w:rPr>
      </w:pPr>
      <w:r>
        <w:rPr>
          <w:rFonts w:ascii="宋体" w:cs="宋体" w:eastAsia="宋体" w:hAnsi="宋体"/>
          <w:sz w:val="31"/>
          <w:szCs w:val="31"/>
          <w:color w:val="auto"/>
        </w:rPr>
        <w:t>大型或者重型设备的建筑基础，按房屋建筑物类固定</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资产评估技术说明的要求编写。</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）房屋建筑物类固定资产</w:t>
      </w:r>
    </w:p>
    <w:p>
      <w:pPr>
        <w:spacing w:after="0" w:line="307" w:lineRule="exact"/>
        <w:rPr>
          <w:sz w:val="20"/>
          <w:szCs w:val="20"/>
          <w:color w:val="auto"/>
        </w:rPr>
      </w:pPr>
    </w:p>
    <w:p>
      <w:pPr>
        <w:ind w:left="260" w:right="126" w:firstLine="643"/>
        <w:spacing w:after="0" w:line="471" w:lineRule="exact"/>
        <w:tabs>
          <w:tab w:leader="none" w:pos="1381" w:val="left"/>
        </w:tabs>
        <w:numPr>
          <w:ilvl w:val="0"/>
          <w:numId w:val="4"/>
        </w:numPr>
        <w:rPr>
          <w:rFonts w:ascii="Arial" w:cs="Arial" w:eastAsia="Arial" w:hAnsi="Arial"/>
          <w:sz w:val="32"/>
          <w:szCs w:val="32"/>
          <w:color w:val="auto"/>
        </w:rPr>
      </w:pPr>
      <w:r>
        <w:rPr>
          <w:rFonts w:ascii="宋体" w:cs="宋体" w:eastAsia="宋体" w:hAnsi="宋体"/>
          <w:sz w:val="32"/>
          <w:szCs w:val="32"/>
          <w:color w:val="auto"/>
        </w:rPr>
        <w:t>房屋建筑物类固定资产的类型、数量、账面原值、账面净值、减值准备等。</w:t>
      </w:r>
    </w:p>
    <w:p>
      <w:pPr>
        <w:sectPr>
          <w:pgSz w:w="11900" w:h="16838" w:orient="portrait"/>
          <w:cols w:equalWidth="0" w:num="1">
            <w:col w:w="9026"/>
          </w:cols>
          <w:pgMar w:left="1440" w:top="1440" w:right="1440" w:bottom="998" w:gutter="0" w:footer="0" w:header="0"/>
        </w:sectPr>
      </w:pPr>
    </w:p>
    <w:bookmarkStart w:id="36" w:name="page37"/>
    <w:bookmarkEnd w:id="36"/>
    <w:p>
      <w:pPr>
        <w:spacing w:after="0" w:line="200" w:lineRule="exact"/>
        <w:rPr>
          <w:sz w:val="20"/>
          <w:szCs w:val="20"/>
          <w:color w:val="auto"/>
        </w:rPr>
      </w:pPr>
    </w:p>
    <w:p>
      <w:pPr>
        <w:spacing w:after="0" w:line="214" w:lineRule="exact"/>
        <w:rPr>
          <w:sz w:val="20"/>
          <w:szCs w:val="20"/>
          <w:color w:val="auto"/>
        </w:rPr>
      </w:pPr>
    </w:p>
    <w:p>
      <w:pPr>
        <w:ind w:left="260" w:firstLine="643"/>
        <w:spacing w:after="0" w:line="521" w:lineRule="exact"/>
        <w:tabs>
          <w:tab w:leader="none" w:pos="1381" w:val="left"/>
        </w:tabs>
        <w:numPr>
          <w:ilvl w:val="0"/>
          <w:numId w:val="5"/>
        </w:numPr>
        <w:rPr>
          <w:rFonts w:ascii="Arial" w:cs="Arial" w:eastAsia="Arial" w:hAnsi="Arial"/>
          <w:sz w:val="31"/>
          <w:szCs w:val="31"/>
          <w:color w:val="auto"/>
        </w:rPr>
      </w:pPr>
      <w:r>
        <w:rPr>
          <w:rFonts w:ascii="宋体" w:cs="宋体" w:eastAsia="宋体" w:hAnsi="宋体"/>
          <w:sz w:val="31"/>
          <w:szCs w:val="31"/>
          <w:color w:val="auto"/>
        </w:rPr>
        <w:t>房屋建筑物类固定资产购建日期、结构形式、权属状况、日常维护和管理制度、最近一次大修或者装潢情况、折旧及计提减值政策，以及房屋建筑物类固定资产所占用土地的情况。</w:t>
      </w:r>
    </w:p>
    <w:p>
      <w:pPr>
        <w:spacing w:after="0" w:line="310" w:lineRule="exact"/>
        <w:rPr>
          <w:rFonts w:ascii="Arial" w:cs="Arial" w:eastAsia="Arial" w:hAnsi="Arial"/>
          <w:sz w:val="31"/>
          <w:szCs w:val="31"/>
          <w:color w:val="auto"/>
        </w:rPr>
      </w:pPr>
    </w:p>
    <w:p>
      <w:pPr>
        <w:ind w:left="260" w:firstLine="643"/>
        <w:spacing w:after="0" w:line="563" w:lineRule="exact"/>
        <w:tabs>
          <w:tab w:leader="none" w:pos="1381" w:val="left"/>
        </w:tabs>
        <w:numPr>
          <w:ilvl w:val="0"/>
          <w:numId w:val="5"/>
        </w:numPr>
        <w:rPr>
          <w:rFonts w:ascii="Arial" w:cs="Arial" w:eastAsia="Arial" w:hAnsi="Arial"/>
          <w:sz w:val="32"/>
          <w:szCs w:val="32"/>
          <w:color w:val="auto"/>
        </w:rPr>
      </w:pPr>
      <w:r>
        <w:rPr>
          <w:rFonts w:ascii="宋体" w:cs="宋体" w:eastAsia="宋体" w:hAnsi="宋体"/>
          <w:sz w:val="32"/>
          <w:szCs w:val="32"/>
          <w:color w:val="auto"/>
        </w:rPr>
        <w:t>房屋建筑物类固定资产核实的方法和结论。对于复杂、大型、独特、高价的房屋建筑物，应当说明已经进行现场勘查以及勘查情况；对于国家强制报废的房屋建筑物，受腐蚀、火灾、水灾或者地震等其他因素导致建筑物严重毁损的情况，应当特别提示，并说明核实情况。</w:t>
      </w:r>
    </w:p>
    <w:p>
      <w:pPr>
        <w:spacing w:after="0" w:line="310" w:lineRule="exact"/>
        <w:rPr>
          <w:rFonts w:ascii="Arial" w:cs="Arial" w:eastAsia="Arial" w:hAnsi="Arial"/>
          <w:sz w:val="32"/>
          <w:szCs w:val="32"/>
          <w:color w:val="auto"/>
        </w:rPr>
      </w:pPr>
    </w:p>
    <w:p>
      <w:pPr>
        <w:ind w:left="260" w:right="160" w:firstLine="643"/>
        <w:spacing w:after="0" w:line="471" w:lineRule="exact"/>
        <w:tabs>
          <w:tab w:leader="none" w:pos="1381" w:val="left"/>
        </w:tabs>
        <w:numPr>
          <w:ilvl w:val="0"/>
          <w:numId w:val="5"/>
        </w:numPr>
        <w:rPr>
          <w:rFonts w:ascii="Arial" w:cs="Arial" w:eastAsia="Arial" w:hAnsi="Arial"/>
          <w:sz w:val="32"/>
          <w:szCs w:val="32"/>
          <w:color w:val="auto"/>
        </w:rPr>
      </w:pPr>
      <w:r>
        <w:rPr>
          <w:rFonts w:ascii="宋体" w:cs="宋体" w:eastAsia="宋体" w:hAnsi="宋体"/>
          <w:sz w:val="32"/>
          <w:szCs w:val="32"/>
          <w:color w:val="auto"/>
        </w:rPr>
        <w:t>评估方法选取的依据和理由，并列示主要计算公式、参数涵义及参数确定的方法。</w:t>
      </w:r>
    </w:p>
    <w:p>
      <w:pPr>
        <w:spacing w:after="0" w:line="306" w:lineRule="exact"/>
        <w:rPr>
          <w:rFonts w:ascii="Arial" w:cs="Arial" w:eastAsia="Arial" w:hAnsi="Arial"/>
          <w:sz w:val="32"/>
          <w:szCs w:val="32"/>
          <w:color w:val="auto"/>
        </w:rPr>
      </w:pPr>
    </w:p>
    <w:p>
      <w:pPr>
        <w:jc w:val="both"/>
        <w:ind w:left="260" w:right="160" w:firstLine="643"/>
        <w:spacing w:after="0" w:line="563" w:lineRule="exact"/>
        <w:tabs>
          <w:tab w:leader="none" w:pos="1381" w:val="left"/>
        </w:tabs>
        <w:numPr>
          <w:ilvl w:val="0"/>
          <w:numId w:val="5"/>
        </w:numPr>
        <w:rPr>
          <w:rFonts w:ascii="Arial" w:cs="Arial" w:eastAsia="Arial" w:hAnsi="Arial"/>
          <w:sz w:val="32"/>
          <w:szCs w:val="32"/>
          <w:color w:val="auto"/>
        </w:rPr>
      </w:pPr>
      <w:r>
        <w:rPr>
          <w:rFonts w:ascii="宋体" w:cs="宋体" w:eastAsia="宋体" w:hAnsi="宋体"/>
          <w:sz w:val="32"/>
          <w:szCs w:val="32"/>
          <w:color w:val="auto"/>
        </w:rPr>
        <w:t>采用成本法评估，应当说明重置全价的构成、各费用项目的测算过程、采用的价格和费用标准等；说明房屋建筑物类资产成新状况（或者增值贬值因素）以及进行量化的方法及依据；对于待修理房屋建筑物，应当说明修复的可能性及预计费用。</w:t>
      </w:r>
    </w:p>
    <w:p>
      <w:pPr>
        <w:spacing w:after="0" w:line="310" w:lineRule="exact"/>
        <w:rPr>
          <w:rFonts w:ascii="Arial" w:cs="Arial" w:eastAsia="Arial" w:hAnsi="Arial"/>
          <w:sz w:val="32"/>
          <w:szCs w:val="32"/>
          <w:color w:val="auto"/>
        </w:rPr>
      </w:pPr>
    </w:p>
    <w:p>
      <w:pPr>
        <w:jc w:val="both"/>
        <w:ind w:left="260" w:right="160" w:firstLine="643"/>
        <w:spacing w:after="0" w:line="547" w:lineRule="exact"/>
        <w:tabs>
          <w:tab w:leader="none" w:pos="1381" w:val="left"/>
        </w:tabs>
        <w:numPr>
          <w:ilvl w:val="0"/>
          <w:numId w:val="5"/>
        </w:numPr>
        <w:rPr>
          <w:rFonts w:ascii="Arial" w:cs="Arial" w:eastAsia="Arial" w:hAnsi="Arial"/>
          <w:sz w:val="32"/>
          <w:szCs w:val="32"/>
          <w:color w:val="auto"/>
        </w:rPr>
      </w:pPr>
      <w:r>
        <w:rPr>
          <w:rFonts w:ascii="宋体" w:cs="宋体" w:eastAsia="宋体" w:hAnsi="宋体"/>
          <w:sz w:val="32"/>
          <w:szCs w:val="32"/>
          <w:color w:val="auto"/>
        </w:rPr>
        <w:t>采用市场法评估，应当说明选取交易实例的依据或者理由、交易实例的基本情况、成交时间、交易状况及交易价格内涵等，对所选取的交易实例，应当全面介绍比较因素、比较结果以及评估值确定的方法。</w:t>
      </w:r>
    </w:p>
    <w:p>
      <w:pPr>
        <w:spacing w:after="0" w:line="309" w:lineRule="exact"/>
        <w:rPr>
          <w:rFonts w:ascii="Arial" w:cs="Arial" w:eastAsia="Arial" w:hAnsi="Arial"/>
          <w:sz w:val="32"/>
          <w:szCs w:val="32"/>
          <w:color w:val="auto"/>
        </w:rPr>
      </w:pPr>
    </w:p>
    <w:p>
      <w:pPr>
        <w:ind w:left="260" w:right="160" w:firstLine="643"/>
        <w:spacing w:after="0" w:line="471" w:lineRule="exact"/>
        <w:tabs>
          <w:tab w:leader="none" w:pos="1381" w:val="left"/>
        </w:tabs>
        <w:numPr>
          <w:ilvl w:val="0"/>
          <w:numId w:val="5"/>
        </w:numPr>
        <w:rPr>
          <w:rFonts w:ascii="Arial" w:cs="Arial" w:eastAsia="Arial" w:hAnsi="Arial"/>
          <w:sz w:val="32"/>
          <w:szCs w:val="32"/>
          <w:color w:val="auto"/>
        </w:rPr>
      </w:pPr>
      <w:r>
        <w:rPr>
          <w:rFonts w:ascii="宋体" w:cs="宋体" w:eastAsia="宋体" w:hAnsi="宋体"/>
          <w:sz w:val="32"/>
          <w:szCs w:val="32"/>
          <w:color w:val="auto"/>
        </w:rPr>
        <w:t>采用收益法评估，应当说明其租金预测情况，以及折现率确定的方法和结论。</w:t>
      </w:r>
    </w:p>
    <w:p>
      <w:pPr>
        <w:spacing w:after="0" w:line="248" w:lineRule="exact"/>
        <w:rPr>
          <w:rFonts w:ascii="Arial" w:cs="Arial" w:eastAsia="Arial" w:hAnsi="Arial"/>
          <w:sz w:val="32"/>
          <w:szCs w:val="32"/>
          <w:color w:val="auto"/>
        </w:rPr>
      </w:pPr>
    </w:p>
    <w:p>
      <w:pPr>
        <w:ind w:left="1380" w:hanging="477"/>
        <w:spacing w:after="0" w:line="376" w:lineRule="exact"/>
        <w:tabs>
          <w:tab w:leader="none" w:pos="1380" w:val="left"/>
        </w:tabs>
        <w:numPr>
          <w:ilvl w:val="0"/>
          <w:numId w:val="5"/>
        </w:numPr>
        <w:rPr>
          <w:rFonts w:ascii="Arial" w:cs="Arial" w:eastAsia="Arial" w:hAnsi="Arial"/>
          <w:sz w:val="31"/>
          <w:szCs w:val="31"/>
          <w:color w:val="auto"/>
        </w:rPr>
      </w:pPr>
      <w:r>
        <w:rPr>
          <w:rFonts w:ascii="宋体" w:cs="宋体" w:eastAsia="宋体" w:hAnsi="宋体"/>
          <w:sz w:val="31"/>
          <w:szCs w:val="31"/>
          <w:color w:val="auto"/>
        </w:rPr>
        <w:t>根据评估业务的具体情况，应当选择典型房屋建筑物举</w:t>
      </w:r>
    </w:p>
    <w:p>
      <w:pPr>
        <w:sectPr>
          <w:pgSz w:w="11900" w:h="16838" w:orient="portrait"/>
          <w:cols w:equalWidth="0" w:num="1">
            <w:col w:w="9060"/>
          </w:cols>
          <w:pgMar w:left="1440" w:top="1440" w:right="1406" w:bottom="998" w:gutter="0" w:footer="0" w:header="0"/>
        </w:sectPr>
      </w:pPr>
    </w:p>
    <w:bookmarkStart w:id="37" w:name="page38"/>
    <w:bookmarkEnd w:id="37"/>
    <w:p>
      <w:pPr>
        <w:spacing w:after="0" w:line="377"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例说明评估参数的测算和判断以及评估值确定的方法和过程。</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典型房屋建筑物应当选择能代表不同的结构形式（一般包括框</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架结构、框剪结构、全现浇结构、排架结构、钢排架、砖混结</w:t>
      </w:r>
    </w:p>
    <w:p>
      <w:pPr>
        <w:spacing w:after="0" w:line="282" w:lineRule="exact"/>
        <w:rPr>
          <w:sz w:val="20"/>
          <w:szCs w:val="20"/>
          <w:color w:val="auto"/>
        </w:rPr>
      </w:pPr>
    </w:p>
    <w:p>
      <w:pPr>
        <w:ind w:left="260"/>
        <w:spacing w:after="0" w:line="343" w:lineRule="exact"/>
        <w:rPr>
          <w:sz w:val="20"/>
          <w:szCs w:val="20"/>
          <w:color w:val="auto"/>
        </w:rPr>
      </w:pPr>
      <w:r>
        <w:rPr>
          <w:rFonts w:ascii="宋体" w:cs="宋体" w:eastAsia="宋体" w:hAnsi="宋体"/>
          <w:sz w:val="30"/>
          <w:szCs w:val="30"/>
          <w:color w:val="auto"/>
        </w:rPr>
        <w:t>构、砖木结构、简易结构、钢棚结构等）、不同的分布地点、不</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同的建筑年代，并且金额较大的房屋建筑物类资产。</w:t>
      </w:r>
    </w:p>
    <w:p>
      <w:pPr>
        <w:spacing w:after="0" w:line="307" w:lineRule="exact"/>
        <w:rPr>
          <w:sz w:val="20"/>
          <w:szCs w:val="20"/>
          <w:color w:val="auto"/>
        </w:rPr>
      </w:pPr>
    </w:p>
    <w:p>
      <w:pPr>
        <w:ind w:left="260" w:right="126" w:firstLine="643"/>
        <w:spacing w:after="0" w:line="471" w:lineRule="exact"/>
        <w:tabs>
          <w:tab w:leader="none" w:pos="1381" w:val="left"/>
        </w:tabs>
        <w:numPr>
          <w:ilvl w:val="0"/>
          <w:numId w:val="6"/>
        </w:numPr>
        <w:rPr>
          <w:rFonts w:ascii="Arial" w:cs="Arial" w:eastAsia="Arial" w:hAnsi="Arial"/>
          <w:sz w:val="32"/>
          <w:szCs w:val="32"/>
          <w:color w:val="auto"/>
        </w:rPr>
      </w:pPr>
      <w:r>
        <w:rPr>
          <w:rFonts w:ascii="宋体" w:cs="宋体" w:eastAsia="宋体" w:hAnsi="宋体"/>
          <w:sz w:val="32"/>
          <w:szCs w:val="32"/>
          <w:color w:val="auto"/>
        </w:rPr>
        <w:t>房屋建筑物中含大型附属设备的，应当按机器设备类固定资产评估的要求编写评估技术说明。</w:t>
      </w:r>
    </w:p>
    <w:p>
      <w:pPr>
        <w:spacing w:after="0" w:line="307" w:lineRule="exact"/>
        <w:rPr>
          <w:rFonts w:ascii="Arial" w:cs="Arial" w:eastAsia="Arial" w:hAnsi="Arial"/>
          <w:sz w:val="32"/>
          <w:szCs w:val="32"/>
          <w:color w:val="auto"/>
        </w:rPr>
      </w:pPr>
    </w:p>
    <w:p>
      <w:pPr>
        <w:ind w:left="260" w:right="126" w:firstLine="643"/>
        <w:spacing w:after="0" w:line="471" w:lineRule="exact"/>
        <w:tabs>
          <w:tab w:leader="none" w:pos="1542" w:val="left"/>
        </w:tabs>
        <w:numPr>
          <w:ilvl w:val="0"/>
          <w:numId w:val="6"/>
        </w:numPr>
        <w:rPr>
          <w:rFonts w:ascii="Arial" w:cs="Arial" w:eastAsia="Arial" w:hAnsi="Arial"/>
          <w:sz w:val="32"/>
          <w:szCs w:val="32"/>
          <w:color w:val="auto"/>
        </w:rPr>
      </w:pPr>
      <w:r>
        <w:rPr>
          <w:rFonts w:ascii="宋体" w:cs="宋体" w:eastAsia="宋体" w:hAnsi="宋体"/>
          <w:sz w:val="32"/>
          <w:szCs w:val="32"/>
          <w:color w:val="auto"/>
        </w:rPr>
        <w:t>对于在房屋建筑物科目核算的投资性房地产，应当按投资性房地产的要求编写评估技术说明。</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14</w:t>
      </w:r>
      <w:r>
        <w:rPr>
          <w:rFonts w:ascii="宋体" w:cs="宋体" w:eastAsia="宋体" w:hAnsi="宋体"/>
          <w:sz w:val="32"/>
          <w:szCs w:val="32"/>
          <w:color w:val="auto"/>
        </w:rPr>
        <w:t>．在建工程</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）在建工程的内容、账面价值、减值准备、开工日期和</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预计完工日期。</w:t>
      </w:r>
    </w:p>
    <w:p>
      <w:pPr>
        <w:spacing w:after="0" w:line="249"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2</w:t>
      </w:r>
      <w:r>
        <w:rPr>
          <w:rFonts w:ascii="宋体" w:cs="宋体" w:eastAsia="宋体" w:hAnsi="宋体"/>
          <w:sz w:val="31"/>
          <w:szCs w:val="31"/>
          <w:color w:val="auto"/>
        </w:rPr>
        <w:t>）在建工程项目的合规性文件核实情况。一般包括：项</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目可行性研究报告及批复、初步设计及批复、建设用地规划许</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可证、建设工程规划许可证、建筑工程施工许可证等。对于停</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建和缓建等在建项目，应当说明已经进行现场勘查以及勘查情</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况。</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）在建工程账面记录的明细构成，并分析相关费用支出</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是否正常。</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）在建工程的形象进度、合同签订情况、已支付工程款</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和应付（未付）工程款情况，并说明对评估价值的影响。</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5</w:t>
      </w:r>
      <w:r>
        <w:rPr>
          <w:rFonts w:ascii="宋体" w:cs="宋体" w:eastAsia="宋体" w:hAnsi="宋体"/>
          <w:sz w:val="31"/>
          <w:szCs w:val="31"/>
          <w:color w:val="auto"/>
        </w:rPr>
        <w:t>）参照房屋建筑物、机器设备类固定资产的要求编写评</w:t>
      </w:r>
    </w:p>
    <w:p>
      <w:pPr>
        <w:sectPr>
          <w:pgSz w:w="11900" w:h="16838" w:orient="portrait"/>
          <w:cols w:equalWidth="0" w:num="1">
            <w:col w:w="9026"/>
          </w:cols>
          <w:pgMar w:left="1440" w:top="1440" w:right="1440" w:bottom="998" w:gutter="0" w:footer="0" w:header="0"/>
        </w:sectPr>
      </w:pPr>
    </w:p>
    <w:bookmarkStart w:id="38" w:name="page39"/>
    <w:bookmarkEnd w:id="38"/>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估技术说明。</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15</w:t>
      </w:r>
      <w:r>
        <w:rPr>
          <w:rFonts w:ascii="宋体" w:cs="宋体" w:eastAsia="宋体" w:hAnsi="宋体"/>
          <w:sz w:val="32"/>
          <w:szCs w:val="32"/>
          <w:color w:val="auto"/>
        </w:rPr>
        <w:t>．工程物资</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）工程物资的种类和账面金额。</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）工程物资核实的方法和结论。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）工程物资的评估技术说明参照存货评估技术说明要求</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编写。</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16</w:t>
      </w:r>
      <w:r>
        <w:rPr>
          <w:rFonts w:ascii="宋体" w:cs="宋体" w:eastAsia="宋体" w:hAnsi="宋体"/>
          <w:sz w:val="32"/>
          <w:szCs w:val="32"/>
          <w:color w:val="auto"/>
        </w:rPr>
        <w:t>．固定资产清理</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）固定资产清理的内容（出售、转让、报废、毁损、对</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外投资、非货币性资产交换、债务重组等）和金额。</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）固定资产清理核实的方法和结论。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）固定资产清理一般反映企业尚未清理完毕的固定资产</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清理净损失。应当根据不同内容，说明评估值确定的方法和结</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17</w:t>
      </w:r>
      <w:r>
        <w:rPr>
          <w:rFonts w:ascii="宋体" w:cs="宋体" w:eastAsia="宋体" w:hAnsi="宋体"/>
          <w:sz w:val="32"/>
          <w:szCs w:val="32"/>
          <w:color w:val="auto"/>
        </w:rPr>
        <w:t>．生产性生物资产</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）生产性生物资产的内容（未成熟生产性生物资产、成</w:t>
      </w:r>
    </w:p>
    <w:p>
      <w:pPr>
        <w:spacing w:after="0" w:line="282" w:lineRule="exact"/>
        <w:rPr>
          <w:sz w:val="20"/>
          <w:szCs w:val="20"/>
          <w:color w:val="auto"/>
        </w:rPr>
      </w:pPr>
    </w:p>
    <w:p>
      <w:pPr>
        <w:ind w:left="260"/>
        <w:spacing w:after="0" w:line="343" w:lineRule="exact"/>
        <w:rPr>
          <w:sz w:val="20"/>
          <w:szCs w:val="20"/>
          <w:color w:val="auto"/>
        </w:rPr>
      </w:pPr>
      <w:r>
        <w:rPr>
          <w:rFonts w:ascii="宋体" w:cs="宋体" w:eastAsia="宋体" w:hAnsi="宋体"/>
          <w:sz w:val="30"/>
          <w:szCs w:val="30"/>
          <w:color w:val="auto"/>
        </w:rPr>
        <w:t>熟生产性生物资产）、种类、群别、取得方式、实物数量、账面</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金额构成及折旧政策等。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）生产性生物资产核实的方法和结论。</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）生产性生物资产评估值确定的方法和结论。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）根据评估业务的具体情况，举例说明评估参数测算的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方法和过程。所举案例应当选择能代表不同种类、群别、取得</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方式的生产性生物资产。</w:t>
      </w:r>
    </w:p>
    <w:p>
      <w:pPr>
        <w:sectPr>
          <w:pgSz w:w="11900" w:h="16838" w:orient="portrait"/>
          <w:cols w:equalWidth="0" w:num="1">
            <w:col w:w="9026"/>
          </w:cols>
          <w:pgMar w:left="1440" w:top="1440" w:right="1440" w:bottom="998" w:gutter="0" w:footer="0" w:header="0"/>
        </w:sectPr>
      </w:pPr>
    </w:p>
    <w:bookmarkStart w:id="39" w:name="page40"/>
    <w:bookmarkEnd w:id="39"/>
    <w:p>
      <w:pPr>
        <w:spacing w:after="0" w:line="343"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18</w:t>
      </w:r>
      <w:r>
        <w:rPr>
          <w:rFonts w:ascii="宋体" w:cs="宋体" w:eastAsia="宋体" w:hAnsi="宋体"/>
          <w:sz w:val="32"/>
          <w:szCs w:val="32"/>
          <w:color w:val="auto"/>
        </w:rPr>
        <w:t>．油气资产</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）油气资产的类别、不同矿区或者油田分布，油气资产</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构成（矿区权益和油气井及相关设施等）、账面金额等。</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2</w:t>
      </w:r>
      <w:r>
        <w:rPr>
          <w:rFonts w:ascii="宋体" w:cs="宋体" w:eastAsia="宋体" w:hAnsi="宋体"/>
          <w:sz w:val="31"/>
          <w:szCs w:val="31"/>
          <w:color w:val="auto"/>
        </w:rPr>
        <w:t>）油气资产原值的构成、折耗政策。特别说明是否存在</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弃置费用现值以及对应的预计负债。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）油气资产核实的方法和结论。</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）油气资产的评估值确定的方法和结论。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5</w:t>
      </w:r>
      <w:r>
        <w:rPr>
          <w:rFonts w:ascii="宋体" w:cs="宋体" w:eastAsia="宋体" w:hAnsi="宋体"/>
          <w:sz w:val="31"/>
          <w:szCs w:val="31"/>
          <w:color w:val="auto"/>
        </w:rPr>
        <w:t>）根据评估业务的具体情况，举例说明评估参数测算确</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定的方法和过程。所举案例，应当选择能代表不同矿区或者油</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田分布的油气资产。</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19</w:t>
      </w:r>
      <w:r>
        <w:rPr>
          <w:rFonts w:ascii="宋体" w:cs="宋体" w:eastAsia="宋体" w:hAnsi="宋体"/>
          <w:sz w:val="32"/>
          <w:szCs w:val="32"/>
          <w:color w:val="auto"/>
        </w:rPr>
        <w:t>．无形资产</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）土地使用权（含固定资产</w:t>
      </w:r>
      <w:r>
        <w:rPr>
          <w:rFonts w:ascii="Arial" w:cs="Arial" w:eastAsia="Arial" w:hAnsi="Arial"/>
          <w:sz w:val="32"/>
          <w:szCs w:val="32"/>
          <w:color w:val="auto"/>
        </w:rPr>
        <w:t>—</w:t>
      </w:r>
      <w:r>
        <w:rPr>
          <w:rFonts w:ascii="宋体" w:cs="宋体" w:eastAsia="宋体" w:hAnsi="宋体"/>
          <w:sz w:val="32"/>
          <w:szCs w:val="32"/>
          <w:color w:val="auto"/>
        </w:rPr>
        <w:t>土地）</w:t>
      </w:r>
    </w:p>
    <w:p>
      <w:pPr>
        <w:spacing w:after="0" w:line="307" w:lineRule="exact"/>
        <w:rPr>
          <w:sz w:val="20"/>
          <w:szCs w:val="20"/>
          <w:color w:val="auto"/>
        </w:rPr>
      </w:pPr>
    </w:p>
    <w:p>
      <w:pPr>
        <w:ind w:left="260" w:right="126" w:firstLine="643"/>
        <w:spacing w:after="0" w:line="471" w:lineRule="exact"/>
        <w:tabs>
          <w:tab w:leader="none" w:pos="1381" w:val="left"/>
        </w:tabs>
        <w:numPr>
          <w:ilvl w:val="0"/>
          <w:numId w:val="7"/>
        </w:numPr>
        <w:rPr>
          <w:rFonts w:ascii="Arial" w:cs="Arial" w:eastAsia="Arial" w:hAnsi="Arial"/>
          <w:sz w:val="32"/>
          <w:szCs w:val="32"/>
          <w:color w:val="auto"/>
        </w:rPr>
      </w:pPr>
      <w:r>
        <w:rPr>
          <w:rFonts w:ascii="宋体" w:cs="宋体" w:eastAsia="宋体" w:hAnsi="宋体"/>
          <w:sz w:val="32"/>
          <w:szCs w:val="32"/>
          <w:color w:val="auto"/>
        </w:rPr>
        <w:t>土地的宗数、面积、土地使用权取得方式、性质、原始入账价值、摊销政策、摊余价值等。</w:t>
      </w:r>
    </w:p>
    <w:p>
      <w:pPr>
        <w:spacing w:after="0" w:line="306" w:lineRule="exact"/>
        <w:rPr>
          <w:rFonts w:ascii="Arial" w:cs="Arial" w:eastAsia="Arial" w:hAnsi="Arial"/>
          <w:sz w:val="32"/>
          <w:szCs w:val="32"/>
          <w:color w:val="auto"/>
        </w:rPr>
      </w:pPr>
    </w:p>
    <w:p>
      <w:pPr>
        <w:jc w:val="both"/>
        <w:ind w:left="260" w:right="126" w:firstLine="643"/>
        <w:spacing w:after="0" w:line="547" w:lineRule="exact"/>
        <w:tabs>
          <w:tab w:leader="none" w:pos="1381" w:val="left"/>
        </w:tabs>
        <w:numPr>
          <w:ilvl w:val="0"/>
          <w:numId w:val="7"/>
        </w:numPr>
        <w:rPr>
          <w:rFonts w:ascii="Arial" w:cs="Arial" w:eastAsia="Arial" w:hAnsi="Arial"/>
          <w:sz w:val="32"/>
          <w:szCs w:val="32"/>
          <w:color w:val="auto"/>
        </w:rPr>
      </w:pPr>
      <w:r>
        <w:rPr>
          <w:rFonts w:ascii="宋体" w:cs="宋体" w:eastAsia="宋体" w:hAnsi="宋体"/>
          <w:sz w:val="32"/>
          <w:szCs w:val="32"/>
          <w:color w:val="auto"/>
        </w:rPr>
        <w:t>土地的登记状况、权利状况、利用状况。土地的登记状况和权利状况，以土地登记、土地使用证和土地使用权出让合同中的有关内容为准，土地利用状况以建筑物、地上附着物等产权登记内容和实际勘查与调查的内容为准。</w:t>
      </w:r>
    </w:p>
    <w:p>
      <w:pPr>
        <w:spacing w:after="0" w:line="309" w:lineRule="exact"/>
        <w:rPr>
          <w:rFonts w:ascii="Arial" w:cs="Arial" w:eastAsia="Arial" w:hAnsi="Arial"/>
          <w:sz w:val="32"/>
          <w:szCs w:val="32"/>
          <w:color w:val="auto"/>
        </w:rPr>
      </w:pPr>
    </w:p>
    <w:p>
      <w:pPr>
        <w:jc w:val="both"/>
        <w:ind w:left="260" w:right="126" w:firstLine="643"/>
        <w:spacing w:after="0" w:line="546" w:lineRule="exact"/>
        <w:tabs>
          <w:tab w:leader="none" w:pos="1381" w:val="left"/>
        </w:tabs>
        <w:numPr>
          <w:ilvl w:val="0"/>
          <w:numId w:val="7"/>
        </w:numPr>
        <w:rPr>
          <w:rFonts w:ascii="Arial" w:cs="Arial" w:eastAsia="Arial" w:hAnsi="Arial"/>
          <w:sz w:val="30"/>
          <w:szCs w:val="30"/>
          <w:color w:val="auto"/>
        </w:rPr>
      </w:pPr>
      <w:r>
        <w:rPr>
          <w:rFonts w:ascii="宋体" w:cs="宋体" w:eastAsia="宋体" w:hAnsi="宋体"/>
          <w:sz w:val="30"/>
          <w:szCs w:val="30"/>
          <w:color w:val="auto"/>
        </w:rPr>
        <w:t>土地的一般因素、区域因素和个别因素（一般包括：城市资源状况、房地产制度与房地产市场概况、产业政策、城市规划与发展目标、城市社会经济状况等；区域概况、交通条件、基础设施条件、环境条件、产业集聚状况和规划限制等；土地</w:t>
      </w:r>
    </w:p>
    <w:p>
      <w:pPr>
        <w:sectPr>
          <w:pgSz w:w="11900" w:h="16838" w:orient="portrait"/>
          <w:cols w:equalWidth="0" w:num="1">
            <w:col w:w="9026"/>
          </w:cols>
          <w:pgMar w:left="1440" w:top="1440" w:right="1440" w:bottom="1003" w:gutter="0" w:footer="0" w:header="0"/>
        </w:sectPr>
      </w:pPr>
    </w:p>
    <w:bookmarkStart w:id="40" w:name="page41"/>
    <w:bookmarkEnd w:id="40"/>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位置、面积、用途、宽度、临街状况、深度、形状、地质、地</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形、地势、容积率、基础设施以及评估对象现状利用或者规划</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利用等影响地价水平的因素）。</w:t>
      </w:r>
    </w:p>
    <w:p>
      <w:pPr>
        <w:spacing w:after="0" w:line="236" w:lineRule="exact"/>
        <w:rPr>
          <w:sz w:val="20"/>
          <w:szCs w:val="20"/>
          <w:color w:val="auto"/>
        </w:rPr>
      </w:pPr>
    </w:p>
    <w:p>
      <w:pPr>
        <w:ind w:left="1380" w:hanging="477"/>
        <w:spacing w:after="0" w:line="388" w:lineRule="exact"/>
        <w:tabs>
          <w:tab w:leader="none" w:pos="1380" w:val="left"/>
        </w:tabs>
        <w:numPr>
          <w:ilvl w:val="0"/>
          <w:numId w:val="8"/>
        </w:numPr>
        <w:rPr>
          <w:rFonts w:ascii="Arial" w:cs="Arial" w:eastAsia="Arial" w:hAnsi="Arial"/>
          <w:sz w:val="32"/>
          <w:szCs w:val="32"/>
          <w:color w:val="auto"/>
        </w:rPr>
      </w:pPr>
      <w:r>
        <w:rPr>
          <w:rFonts w:ascii="宋体" w:cs="宋体" w:eastAsia="宋体" w:hAnsi="宋体"/>
          <w:sz w:val="32"/>
          <w:szCs w:val="32"/>
          <w:color w:val="auto"/>
        </w:rPr>
        <w:t>土地使用权核实的方法和结论。</w:t>
      </w:r>
    </w:p>
    <w:p>
      <w:pPr>
        <w:spacing w:after="0" w:line="248" w:lineRule="exact"/>
        <w:rPr>
          <w:rFonts w:ascii="Arial" w:cs="Arial" w:eastAsia="Arial" w:hAnsi="Arial"/>
          <w:sz w:val="32"/>
          <w:szCs w:val="32"/>
          <w:color w:val="auto"/>
        </w:rPr>
      </w:pPr>
    </w:p>
    <w:p>
      <w:pPr>
        <w:ind w:left="1380" w:hanging="477"/>
        <w:spacing w:after="0" w:line="376" w:lineRule="exact"/>
        <w:tabs>
          <w:tab w:leader="none" w:pos="1380" w:val="left"/>
        </w:tabs>
        <w:numPr>
          <w:ilvl w:val="0"/>
          <w:numId w:val="8"/>
        </w:numPr>
        <w:rPr>
          <w:rFonts w:ascii="Arial" w:cs="Arial" w:eastAsia="Arial" w:hAnsi="Arial"/>
          <w:sz w:val="31"/>
          <w:szCs w:val="31"/>
          <w:color w:val="auto"/>
        </w:rPr>
      </w:pPr>
      <w:r>
        <w:rPr>
          <w:rFonts w:ascii="宋体" w:cs="宋体" w:eastAsia="宋体" w:hAnsi="宋体"/>
          <w:sz w:val="31"/>
          <w:szCs w:val="31"/>
          <w:color w:val="auto"/>
        </w:rPr>
        <w:t>土地使用权评估价值内涵，所选取评估方法的依据或者</w:t>
      </w:r>
    </w:p>
    <w:p>
      <w:pPr>
        <w:spacing w:after="0" w:line="259" w:lineRule="exact"/>
        <w:rPr>
          <w:rFonts w:ascii="Arial" w:cs="Arial" w:eastAsia="Arial" w:hAnsi="Arial"/>
          <w:sz w:val="31"/>
          <w:szCs w:val="31"/>
          <w:color w:val="auto"/>
        </w:rPr>
      </w:pPr>
    </w:p>
    <w:p>
      <w:pPr>
        <w:ind w:left="260"/>
        <w:spacing w:after="0" w:line="366" w:lineRule="exact"/>
        <w:rPr>
          <w:rFonts w:ascii="Arial" w:cs="Arial" w:eastAsia="Arial" w:hAnsi="Arial"/>
          <w:sz w:val="31"/>
          <w:szCs w:val="31"/>
          <w:color w:val="auto"/>
        </w:rPr>
      </w:pPr>
      <w:r>
        <w:rPr>
          <w:rFonts w:ascii="宋体" w:cs="宋体" w:eastAsia="宋体" w:hAnsi="宋体"/>
          <w:sz w:val="32"/>
          <w:szCs w:val="32"/>
          <w:color w:val="auto"/>
        </w:rPr>
        <w:t>理由。</w:t>
      </w:r>
    </w:p>
    <w:p>
      <w:pPr>
        <w:spacing w:after="0" w:line="307" w:lineRule="exact"/>
        <w:rPr>
          <w:rFonts w:ascii="Arial" w:cs="Arial" w:eastAsia="Arial" w:hAnsi="Arial"/>
          <w:sz w:val="31"/>
          <w:szCs w:val="31"/>
          <w:color w:val="auto"/>
        </w:rPr>
      </w:pPr>
    </w:p>
    <w:p>
      <w:pPr>
        <w:ind w:left="260" w:right="160" w:firstLine="643"/>
        <w:spacing w:after="0" w:line="581" w:lineRule="exact"/>
        <w:tabs>
          <w:tab w:leader="none" w:pos="1381" w:val="left"/>
        </w:tabs>
        <w:numPr>
          <w:ilvl w:val="0"/>
          <w:numId w:val="8"/>
        </w:numPr>
        <w:rPr>
          <w:rFonts w:ascii="Arial" w:cs="Arial" w:eastAsia="Arial" w:hAnsi="Arial"/>
          <w:sz w:val="32"/>
          <w:szCs w:val="32"/>
          <w:color w:val="auto"/>
        </w:rPr>
      </w:pPr>
      <w:r>
        <w:rPr>
          <w:rFonts w:ascii="宋体" w:cs="宋体" w:eastAsia="宋体" w:hAnsi="宋体"/>
          <w:sz w:val="32"/>
          <w:szCs w:val="32"/>
          <w:color w:val="auto"/>
        </w:rPr>
        <w:t>采用市场法评估，应当说明所选交易实例的基本状况（名称、坐落、四至、面积、用途、产权状况、土地形状、土地使用期限、建筑物建成日期、建筑结构、周围环境等）、成交日期、成交价格（包括总价、单价及计价方式、付款方式）、交易情况（交易目的、交易方式、交易税费负担方式、交易人之间的特殊利害关系、特殊交易动机等）等内容，并说明交易情况、交易日期等修正情况。</w:t>
      </w:r>
    </w:p>
    <w:p>
      <w:pPr>
        <w:spacing w:after="0" w:line="308" w:lineRule="exact"/>
        <w:rPr>
          <w:rFonts w:ascii="Arial" w:cs="Arial" w:eastAsia="Arial" w:hAnsi="Arial"/>
          <w:sz w:val="32"/>
          <w:szCs w:val="32"/>
          <w:color w:val="auto"/>
        </w:rPr>
      </w:pPr>
    </w:p>
    <w:p>
      <w:pPr>
        <w:ind w:left="260" w:right="140" w:firstLine="643"/>
        <w:spacing w:after="0" w:line="471" w:lineRule="exact"/>
        <w:tabs>
          <w:tab w:leader="none" w:pos="1381" w:val="left"/>
        </w:tabs>
        <w:numPr>
          <w:ilvl w:val="0"/>
          <w:numId w:val="8"/>
        </w:numPr>
        <w:rPr>
          <w:rFonts w:ascii="Arial" w:cs="Arial" w:eastAsia="Arial" w:hAnsi="Arial"/>
          <w:sz w:val="32"/>
          <w:szCs w:val="32"/>
          <w:color w:val="auto"/>
        </w:rPr>
      </w:pPr>
      <w:r>
        <w:rPr>
          <w:rFonts w:ascii="宋体" w:cs="宋体" w:eastAsia="宋体" w:hAnsi="宋体"/>
          <w:sz w:val="32"/>
          <w:szCs w:val="32"/>
          <w:color w:val="auto"/>
        </w:rPr>
        <w:t>采用收益法评估，应当说明收益期限、净收益与折现率确定的过程和结论。</w:t>
      </w:r>
    </w:p>
    <w:p>
      <w:pPr>
        <w:spacing w:after="0" w:line="306" w:lineRule="exact"/>
        <w:rPr>
          <w:rFonts w:ascii="Arial" w:cs="Arial" w:eastAsia="Arial" w:hAnsi="Arial"/>
          <w:sz w:val="32"/>
          <w:szCs w:val="32"/>
          <w:color w:val="auto"/>
        </w:rPr>
      </w:pPr>
    </w:p>
    <w:p>
      <w:pPr>
        <w:ind w:left="260" w:firstLine="643"/>
        <w:spacing w:after="0" w:line="563" w:lineRule="exact"/>
        <w:tabs>
          <w:tab w:leader="none" w:pos="1381" w:val="left"/>
        </w:tabs>
        <w:numPr>
          <w:ilvl w:val="0"/>
          <w:numId w:val="8"/>
        </w:numPr>
        <w:rPr>
          <w:rFonts w:ascii="Arial" w:cs="Arial" w:eastAsia="Arial" w:hAnsi="Arial"/>
          <w:sz w:val="32"/>
          <w:szCs w:val="32"/>
          <w:color w:val="auto"/>
        </w:rPr>
      </w:pPr>
      <w:r>
        <w:rPr>
          <w:rFonts w:ascii="宋体" w:cs="宋体" w:eastAsia="宋体" w:hAnsi="宋体"/>
          <w:sz w:val="32"/>
          <w:szCs w:val="32"/>
          <w:color w:val="auto"/>
        </w:rPr>
        <w:t>采用成本法评估，应当说明费用项目的构成、各费用项目的测算过程、采用的价格和费用标准等；说明与地上建筑物费用项目的划分；说明评估对象的开发期限、开发状况和相应的开发费用标准及依据；说明土地增值标准的确定方法和依据；说明修正的因素及修正过程。</w:t>
      </w:r>
    </w:p>
    <w:p>
      <w:pPr>
        <w:spacing w:after="0" w:line="310" w:lineRule="exact"/>
        <w:rPr>
          <w:rFonts w:ascii="Arial" w:cs="Arial" w:eastAsia="Arial" w:hAnsi="Arial"/>
          <w:sz w:val="32"/>
          <w:szCs w:val="32"/>
          <w:color w:val="auto"/>
        </w:rPr>
      </w:pPr>
    </w:p>
    <w:p>
      <w:pPr>
        <w:jc w:val="both"/>
        <w:ind w:left="260" w:right="160" w:firstLine="643"/>
        <w:spacing w:after="0" w:line="470" w:lineRule="exact"/>
        <w:tabs>
          <w:tab w:leader="none" w:pos="1381" w:val="left"/>
        </w:tabs>
        <w:numPr>
          <w:ilvl w:val="0"/>
          <w:numId w:val="8"/>
        </w:numPr>
        <w:rPr>
          <w:rFonts w:ascii="Arial" w:cs="Arial" w:eastAsia="Arial" w:hAnsi="Arial"/>
          <w:sz w:val="31"/>
          <w:szCs w:val="31"/>
          <w:color w:val="auto"/>
        </w:rPr>
      </w:pPr>
      <w:r>
        <w:rPr>
          <w:rFonts w:ascii="宋体" w:cs="宋体" w:eastAsia="宋体" w:hAnsi="宋体"/>
          <w:sz w:val="31"/>
          <w:szCs w:val="31"/>
          <w:color w:val="auto"/>
        </w:rPr>
        <w:t>采用基准地价修正法评估，应当说明基准地价的公布时间，批准机关和文号，基准地价的内涵，利用基准地价估算宗</w:t>
      </w:r>
    </w:p>
    <w:p>
      <w:pPr>
        <w:sectPr>
          <w:pgSz w:w="11900" w:h="16838" w:orient="portrait"/>
          <w:cols w:equalWidth="0" w:num="1">
            <w:col w:w="9060"/>
          </w:cols>
          <w:pgMar w:left="1440" w:top="1440" w:right="1406" w:bottom="1000" w:gutter="0" w:footer="0" w:header="0"/>
        </w:sectPr>
      </w:pPr>
    </w:p>
    <w:bookmarkStart w:id="41" w:name="page42"/>
    <w:bookmarkEnd w:id="41"/>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地价格的公式；说明宗地位置、用途及评估对象所在级别或者</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区域的基准地价和对应的因素修正系数；说明评估对象的价值</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内涵与基准地价内涵的差异，以及修正的内容（土地级别、用</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途、权益性质、交易日期修正、区域因素修正、个别因素修正、</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使用年期修正和开发程度等）。</w:t>
      </w:r>
    </w:p>
    <w:p>
      <w:pPr>
        <w:spacing w:after="0" w:line="307" w:lineRule="exact"/>
        <w:rPr>
          <w:sz w:val="20"/>
          <w:szCs w:val="20"/>
          <w:color w:val="auto"/>
        </w:rPr>
      </w:pPr>
    </w:p>
    <w:p>
      <w:pPr>
        <w:jc w:val="both"/>
        <w:ind w:left="260" w:right="160" w:firstLine="643"/>
        <w:spacing w:after="0" w:line="522" w:lineRule="exact"/>
        <w:tabs>
          <w:tab w:leader="none" w:pos="1542" w:val="left"/>
        </w:tabs>
        <w:numPr>
          <w:ilvl w:val="0"/>
          <w:numId w:val="9"/>
        </w:numPr>
        <w:rPr>
          <w:rFonts w:ascii="Arial" w:cs="Arial" w:eastAsia="Arial" w:hAnsi="Arial"/>
          <w:sz w:val="32"/>
          <w:szCs w:val="32"/>
          <w:color w:val="auto"/>
        </w:rPr>
      </w:pPr>
      <w:r>
        <w:rPr>
          <w:rFonts w:ascii="宋体" w:cs="宋体" w:eastAsia="宋体" w:hAnsi="宋体"/>
          <w:sz w:val="32"/>
          <w:szCs w:val="32"/>
          <w:color w:val="auto"/>
        </w:rPr>
        <w:t>采用假设开发法评估时，应当说明开发完成后的不动产价值、后续开发建设的必要支出和应得利润等的确定方法、过程和结论。</w:t>
      </w:r>
    </w:p>
    <w:p>
      <w:pPr>
        <w:spacing w:after="0" w:line="307" w:lineRule="exact"/>
        <w:rPr>
          <w:rFonts w:ascii="Arial" w:cs="Arial" w:eastAsia="Arial" w:hAnsi="Arial"/>
          <w:sz w:val="32"/>
          <w:szCs w:val="32"/>
          <w:color w:val="auto"/>
        </w:rPr>
      </w:pPr>
    </w:p>
    <w:p>
      <w:pPr>
        <w:jc w:val="both"/>
        <w:ind w:left="260" w:right="160" w:firstLine="643"/>
        <w:spacing w:after="0" w:line="547" w:lineRule="exact"/>
        <w:tabs>
          <w:tab w:leader="none" w:pos="1542" w:val="left"/>
        </w:tabs>
        <w:numPr>
          <w:ilvl w:val="0"/>
          <w:numId w:val="9"/>
        </w:numPr>
        <w:rPr>
          <w:rFonts w:ascii="Arial" w:cs="Arial" w:eastAsia="Arial" w:hAnsi="Arial"/>
          <w:sz w:val="32"/>
          <w:szCs w:val="32"/>
          <w:color w:val="auto"/>
        </w:rPr>
      </w:pPr>
      <w:r>
        <w:rPr>
          <w:rFonts w:ascii="宋体" w:cs="宋体" w:eastAsia="宋体" w:hAnsi="宋体"/>
          <w:sz w:val="32"/>
          <w:szCs w:val="32"/>
          <w:color w:val="auto"/>
        </w:rPr>
        <w:t>引用土地估价报告评估结论，应当说明引用的土地宗数、面积、土地使用权取得方式、性质、原始入账价值、摊销政策、摊余价值等；说明所引用土地评估结论的地价定义、评估方法、评估结论及调整使用的情况。</w:t>
      </w:r>
    </w:p>
    <w:p>
      <w:pPr>
        <w:spacing w:after="0" w:line="238" w:lineRule="exact"/>
        <w:rPr>
          <w:rFonts w:ascii="Arial" w:cs="Arial" w:eastAsia="Arial" w:hAnsi="Arial"/>
          <w:sz w:val="32"/>
          <w:szCs w:val="32"/>
          <w:color w:val="auto"/>
        </w:rPr>
      </w:pPr>
    </w:p>
    <w:p>
      <w:pPr>
        <w:ind w:left="900"/>
        <w:spacing w:after="0" w:line="388" w:lineRule="exact"/>
        <w:rPr>
          <w:rFonts w:ascii="Arial" w:cs="Arial" w:eastAsia="Arial" w:hAnsi="Arial"/>
          <w:sz w:val="32"/>
          <w:szCs w:val="32"/>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）矿业权</w:t>
      </w:r>
    </w:p>
    <w:p>
      <w:pPr>
        <w:spacing w:after="0" w:line="236" w:lineRule="exact"/>
        <w:rPr>
          <w:sz w:val="20"/>
          <w:szCs w:val="20"/>
          <w:color w:val="auto"/>
        </w:rPr>
      </w:pPr>
    </w:p>
    <w:p>
      <w:pPr>
        <w:ind w:left="1380" w:hanging="477"/>
        <w:spacing w:after="0" w:line="388" w:lineRule="exact"/>
        <w:tabs>
          <w:tab w:leader="none" w:pos="1380" w:val="left"/>
        </w:tabs>
        <w:numPr>
          <w:ilvl w:val="0"/>
          <w:numId w:val="10"/>
        </w:numPr>
        <w:rPr>
          <w:rFonts w:ascii="Arial" w:cs="Arial" w:eastAsia="Arial" w:hAnsi="Arial"/>
          <w:sz w:val="32"/>
          <w:szCs w:val="32"/>
          <w:color w:val="auto"/>
        </w:rPr>
      </w:pPr>
      <w:r>
        <w:rPr>
          <w:rFonts w:ascii="宋体" w:cs="宋体" w:eastAsia="宋体" w:hAnsi="宋体"/>
          <w:sz w:val="32"/>
          <w:szCs w:val="32"/>
          <w:color w:val="auto"/>
        </w:rPr>
        <w:t>矿业权人的基本情况。</w:t>
      </w:r>
    </w:p>
    <w:p>
      <w:pPr>
        <w:spacing w:after="0" w:line="306" w:lineRule="exact"/>
        <w:rPr>
          <w:rFonts w:ascii="Arial" w:cs="Arial" w:eastAsia="Arial" w:hAnsi="Arial"/>
          <w:sz w:val="32"/>
          <w:szCs w:val="32"/>
          <w:color w:val="auto"/>
        </w:rPr>
      </w:pPr>
    </w:p>
    <w:p>
      <w:pPr>
        <w:ind w:left="260" w:right="160" w:firstLine="643"/>
        <w:spacing w:after="0" w:line="471" w:lineRule="exact"/>
        <w:tabs>
          <w:tab w:leader="none" w:pos="1381" w:val="left"/>
        </w:tabs>
        <w:numPr>
          <w:ilvl w:val="0"/>
          <w:numId w:val="10"/>
        </w:numPr>
        <w:rPr>
          <w:rFonts w:ascii="Arial" w:cs="Arial" w:eastAsia="Arial" w:hAnsi="Arial"/>
          <w:sz w:val="32"/>
          <w:szCs w:val="32"/>
          <w:color w:val="auto"/>
        </w:rPr>
      </w:pPr>
      <w:r>
        <w:rPr>
          <w:rFonts w:ascii="宋体" w:cs="宋体" w:eastAsia="宋体" w:hAnsi="宋体"/>
          <w:sz w:val="32"/>
          <w:szCs w:val="32"/>
          <w:color w:val="auto"/>
        </w:rPr>
        <w:t>矿床勘查、矿山建设规划或者矿山建设和生产经营等基本情况。</w:t>
      </w:r>
    </w:p>
    <w:p>
      <w:pPr>
        <w:spacing w:after="0" w:line="306" w:lineRule="exact"/>
        <w:rPr>
          <w:rFonts w:ascii="Arial" w:cs="Arial" w:eastAsia="Arial" w:hAnsi="Arial"/>
          <w:sz w:val="32"/>
          <w:szCs w:val="32"/>
          <w:color w:val="auto"/>
        </w:rPr>
      </w:pPr>
    </w:p>
    <w:p>
      <w:pPr>
        <w:ind w:left="260" w:firstLine="643"/>
        <w:spacing w:after="0" w:line="471" w:lineRule="exact"/>
        <w:tabs>
          <w:tab w:leader="none" w:pos="1381" w:val="left"/>
        </w:tabs>
        <w:numPr>
          <w:ilvl w:val="0"/>
          <w:numId w:val="10"/>
        </w:numPr>
        <w:rPr>
          <w:rFonts w:ascii="Arial" w:cs="Arial" w:eastAsia="Arial" w:hAnsi="Arial"/>
          <w:sz w:val="32"/>
          <w:szCs w:val="32"/>
          <w:color w:val="auto"/>
        </w:rPr>
      </w:pPr>
      <w:r>
        <w:rPr>
          <w:rFonts w:ascii="宋体" w:cs="宋体" w:eastAsia="宋体" w:hAnsi="宋体"/>
          <w:sz w:val="32"/>
          <w:szCs w:val="32"/>
          <w:color w:val="auto"/>
        </w:rPr>
        <w:t>矿业权取得时间、方式和以往矿业权价款（或者价值）评估、处置或者交易等情况。</w:t>
      </w:r>
    </w:p>
    <w:p>
      <w:pPr>
        <w:spacing w:after="0" w:line="307" w:lineRule="exact"/>
        <w:rPr>
          <w:rFonts w:ascii="Arial" w:cs="Arial" w:eastAsia="Arial" w:hAnsi="Arial"/>
          <w:sz w:val="32"/>
          <w:szCs w:val="32"/>
          <w:color w:val="auto"/>
        </w:rPr>
      </w:pPr>
    </w:p>
    <w:p>
      <w:pPr>
        <w:jc w:val="both"/>
        <w:ind w:left="260" w:right="140" w:firstLine="643"/>
        <w:spacing w:after="0" w:line="547" w:lineRule="exact"/>
        <w:tabs>
          <w:tab w:leader="none" w:pos="1381" w:val="left"/>
        </w:tabs>
        <w:numPr>
          <w:ilvl w:val="0"/>
          <w:numId w:val="10"/>
        </w:numPr>
        <w:rPr>
          <w:rFonts w:ascii="Arial" w:cs="Arial" w:eastAsia="Arial" w:hAnsi="Arial"/>
          <w:sz w:val="31"/>
          <w:szCs w:val="31"/>
          <w:color w:val="auto"/>
        </w:rPr>
      </w:pPr>
      <w:r>
        <w:rPr>
          <w:rFonts w:ascii="宋体" w:cs="宋体" w:eastAsia="宋体" w:hAnsi="宋体"/>
          <w:sz w:val="31"/>
          <w:szCs w:val="31"/>
          <w:color w:val="auto"/>
        </w:rPr>
        <w:t>有效的勘查许可证、采矿许可证的主要信息（探矿权主要包括勘查许可证号、探矿权人、勘查项目名称、勘查范围、各拐点地理坐标、勘查面积、有效期限等。采矿权主要包括采矿许可证号、采矿权人、矿山名称、开采矿种、开采方式、生</w:t>
      </w:r>
    </w:p>
    <w:p>
      <w:pPr>
        <w:sectPr>
          <w:pgSz w:w="11900" w:h="16838" w:orient="portrait"/>
          <w:cols w:equalWidth="0" w:num="1">
            <w:col w:w="9060"/>
          </w:cols>
          <w:pgMar w:left="1440" w:top="1440" w:right="1406" w:bottom="1002" w:gutter="0" w:footer="0" w:header="0"/>
        </w:sectPr>
      </w:pPr>
    </w:p>
    <w:bookmarkStart w:id="42" w:name="page43"/>
    <w:bookmarkEnd w:id="42"/>
    <w:p>
      <w:pPr>
        <w:spacing w:after="0" w:line="389" w:lineRule="exact"/>
        <w:rPr>
          <w:sz w:val="20"/>
          <w:szCs w:val="20"/>
          <w:color w:val="auto"/>
        </w:rPr>
      </w:pPr>
    </w:p>
    <w:p>
      <w:pPr>
        <w:ind w:left="260"/>
        <w:spacing w:after="0" w:line="343" w:lineRule="exact"/>
        <w:rPr>
          <w:sz w:val="20"/>
          <w:szCs w:val="20"/>
          <w:color w:val="auto"/>
        </w:rPr>
      </w:pPr>
      <w:r>
        <w:rPr>
          <w:rFonts w:ascii="宋体" w:cs="宋体" w:eastAsia="宋体" w:hAnsi="宋体"/>
          <w:sz w:val="30"/>
          <w:szCs w:val="30"/>
          <w:color w:val="auto"/>
        </w:rPr>
        <w:t>产规模、矿区面积、有效期限、各拐点地理坐标、开采深度等）。</w:t>
      </w:r>
    </w:p>
    <w:p>
      <w:pPr>
        <w:spacing w:after="0" w:line="236" w:lineRule="exact"/>
        <w:rPr>
          <w:sz w:val="20"/>
          <w:szCs w:val="20"/>
          <w:color w:val="auto"/>
        </w:rPr>
      </w:pPr>
    </w:p>
    <w:p>
      <w:pPr>
        <w:ind w:left="1380" w:hanging="477"/>
        <w:spacing w:after="0" w:line="388" w:lineRule="exact"/>
        <w:tabs>
          <w:tab w:leader="none" w:pos="1380" w:val="left"/>
        </w:tabs>
        <w:numPr>
          <w:ilvl w:val="0"/>
          <w:numId w:val="11"/>
        </w:numPr>
        <w:rPr>
          <w:rFonts w:ascii="Arial" w:cs="Arial" w:eastAsia="Arial" w:hAnsi="Arial"/>
          <w:sz w:val="32"/>
          <w:szCs w:val="32"/>
          <w:color w:val="auto"/>
        </w:rPr>
      </w:pPr>
      <w:r>
        <w:rPr>
          <w:rFonts w:ascii="宋体" w:cs="宋体" w:eastAsia="宋体" w:hAnsi="宋体"/>
          <w:sz w:val="32"/>
          <w:szCs w:val="32"/>
          <w:color w:val="auto"/>
        </w:rPr>
        <w:t>评估对象的矿产资源勘查和开发概况。</w:t>
      </w:r>
    </w:p>
    <w:p>
      <w:pPr>
        <w:spacing w:after="0" w:line="306" w:lineRule="exact"/>
        <w:rPr>
          <w:rFonts w:ascii="Arial" w:cs="Arial" w:eastAsia="Arial" w:hAnsi="Arial"/>
          <w:sz w:val="32"/>
          <w:szCs w:val="32"/>
          <w:color w:val="auto"/>
        </w:rPr>
      </w:pPr>
    </w:p>
    <w:p>
      <w:pPr>
        <w:ind w:left="260" w:right="340" w:firstLine="643"/>
        <w:spacing w:after="0" w:line="471" w:lineRule="exact"/>
        <w:tabs>
          <w:tab w:leader="none" w:pos="1381" w:val="left"/>
        </w:tabs>
        <w:numPr>
          <w:ilvl w:val="0"/>
          <w:numId w:val="11"/>
        </w:numPr>
        <w:rPr>
          <w:rFonts w:ascii="Arial" w:cs="Arial" w:eastAsia="Arial" w:hAnsi="Arial"/>
          <w:sz w:val="32"/>
          <w:szCs w:val="32"/>
          <w:color w:val="auto"/>
        </w:rPr>
      </w:pPr>
      <w:r>
        <w:rPr>
          <w:rFonts w:ascii="宋体" w:cs="宋体" w:eastAsia="宋体" w:hAnsi="宋体"/>
          <w:sz w:val="32"/>
          <w:szCs w:val="32"/>
          <w:color w:val="auto"/>
        </w:rPr>
        <w:t>选择评估方法的依据和理由，并列示主要计算公式及参数涵义。</w:t>
      </w:r>
    </w:p>
    <w:p>
      <w:pPr>
        <w:spacing w:after="0" w:line="306" w:lineRule="exact"/>
        <w:rPr>
          <w:rFonts w:ascii="Arial" w:cs="Arial" w:eastAsia="Arial" w:hAnsi="Arial"/>
          <w:sz w:val="32"/>
          <w:szCs w:val="32"/>
          <w:color w:val="auto"/>
        </w:rPr>
      </w:pPr>
    </w:p>
    <w:p>
      <w:pPr>
        <w:ind w:left="260" w:right="180" w:firstLine="643"/>
        <w:spacing w:after="0" w:line="471" w:lineRule="exact"/>
        <w:tabs>
          <w:tab w:leader="none" w:pos="1381" w:val="left"/>
        </w:tabs>
        <w:numPr>
          <w:ilvl w:val="0"/>
          <w:numId w:val="11"/>
        </w:numPr>
        <w:rPr>
          <w:rFonts w:ascii="Arial" w:cs="Arial" w:eastAsia="Arial" w:hAnsi="Arial"/>
          <w:sz w:val="32"/>
          <w:szCs w:val="32"/>
          <w:color w:val="auto"/>
        </w:rPr>
      </w:pPr>
      <w:r>
        <w:rPr>
          <w:rFonts w:ascii="宋体" w:cs="宋体" w:eastAsia="宋体" w:hAnsi="宋体"/>
          <w:sz w:val="32"/>
          <w:szCs w:val="32"/>
          <w:color w:val="auto"/>
        </w:rPr>
        <w:t>参数确定情况，包括所依据或者参考资料的来源出处；各评估参数的确定原则、依据、过程和结论。</w:t>
      </w:r>
    </w:p>
    <w:p>
      <w:pPr>
        <w:spacing w:after="0" w:line="307" w:lineRule="exact"/>
        <w:rPr>
          <w:rFonts w:ascii="Arial" w:cs="Arial" w:eastAsia="Arial" w:hAnsi="Arial"/>
          <w:sz w:val="32"/>
          <w:szCs w:val="32"/>
          <w:color w:val="auto"/>
        </w:rPr>
      </w:pPr>
    </w:p>
    <w:p>
      <w:pPr>
        <w:ind w:left="260" w:firstLine="643"/>
        <w:spacing w:after="0" w:line="563" w:lineRule="exact"/>
        <w:tabs>
          <w:tab w:leader="none" w:pos="1381" w:val="left"/>
        </w:tabs>
        <w:numPr>
          <w:ilvl w:val="0"/>
          <w:numId w:val="11"/>
        </w:numPr>
        <w:rPr>
          <w:rFonts w:ascii="Arial" w:cs="Arial" w:eastAsia="Arial" w:hAnsi="Arial"/>
          <w:sz w:val="32"/>
          <w:szCs w:val="32"/>
          <w:color w:val="auto"/>
        </w:rPr>
      </w:pPr>
      <w:r>
        <w:rPr>
          <w:rFonts w:ascii="宋体" w:cs="宋体" w:eastAsia="宋体" w:hAnsi="宋体"/>
          <w:sz w:val="32"/>
          <w:szCs w:val="32"/>
          <w:color w:val="auto"/>
        </w:rPr>
        <w:t>引用专业报告确定评估参数，应当说明专业报告的名称、形成时间、结论等主要情况。引用专业报告参数进行调整确定评估参数，应当说明其调整确定过程。利用专家协助确定价值指数，应当说明专家的数量、专业及资格、专家工作过程、结论等主要情况，并说明对其检查、汇总及分析的过程。</w:t>
      </w:r>
    </w:p>
    <w:p>
      <w:pPr>
        <w:spacing w:after="0" w:line="309" w:lineRule="exact"/>
        <w:rPr>
          <w:rFonts w:ascii="Arial" w:cs="Arial" w:eastAsia="Arial" w:hAnsi="Arial"/>
          <w:sz w:val="32"/>
          <w:szCs w:val="32"/>
          <w:color w:val="auto"/>
        </w:rPr>
      </w:pPr>
    </w:p>
    <w:p>
      <w:pPr>
        <w:jc w:val="both"/>
        <w:ind w:left="260" w:right="340" w:firstLine="643"/>
        <w:spacing w:after="0" w:line="563" w:lineRule="exact"/>
        <w:tabs>
          <w:tab w:leader="none" w:pos="1381" w:val="left"/>
        </w:tabs>
        <w:numPr>
          <w:ilvl w:val="0"/>
          <w:numId w:val="11"/>
        </w:numPr>
        <w:rPr>
          <w:rFonts w:ascii="Arial" w:cs="Arial" w:eastAsia="Arial" w:hAnsi="Arial"/>
          <w:sz w:val="32"/>
          <w:szCs w:val="32"/>
          <w:color w:val="auto"/>
        </w:rPr>
      </w:pPr>
      <w:r>
        <w:rPr>
          <w:rFonts w:ascii="宋体" w:cs="宋体" w:eastAsia="宋体" w:hAnsi="宋体"/>
          <w:sz w:val="32"/>
          <w:szCs w:val="32"/>
          <w:color w:val="auto"/>
        </w:rPr>
        <w:t>引用矿业权评估报告评估结论，应当说明引用的矿业权名称、矿业权取得方式、性质、原始入账价值、摊销政策、摊余价值等。说明所引用矿业权评估结论的价值内涵、评估方法、评估结果以及引用处理情况，同时说明矿业权价款评估、备案及价款缴纳情况。</w:t>
      </w:r>
    </w:p>
    <w:p>
      <w:pPr>
        <w:spacing w:after="0" w:line="239" w:lineRule="exact"/>
        <w:rPr>
          <w:rFonts w:ascii="Arial" w:cs="Arial" w:eastAsia="Arial" w:hAnsi="Arial"/>
          <w:sz w:val="32"/>
          <w:szCs w:val="32"/>
          <w:color w:val="auto"/>
        </w:rPr>
      </w:pPr>
    </w:p>
    <w:p>
      <w:pPr>
        <w:ind w:left="900"/>
        <w:spacing w:after="0" w:line="388" w:lineRule="exact"/>
        <w:rPr>
          <w:rFonts w:ascii="Arial" w:cs="Arial" w:eastAsia="Arial" w:hAnsi="Arial"/>
          <w:sz w:val="32"/>
          <w:szCs w:val="32"/>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）其他无形资产</w:t>
      </w:r>
    </w:p>
    <w:p>
      <w:pPr>
        <w:spacing w:after="0" w:line="307" w:lineRule="exact"/>
        <w:rPr>
          <w:sz w:val="20"/>
          <w:szCs w:val="20"/>
          <w:color w:val="auto"/>
        </w:rPr>
      </w:pPr>
    </w:p>
    <w:p>
      <w:pPr>
        <w:ind w:left="260" w:right="340" w:firstLine="643"/>
        <w:spacing w:after="0" w:line="471" w:lineRule="exact"/>
        <w:tabs>
          <w:tab w:leader="none" w:pos="1381" w:val="left"/>
        </w:tabs>
        <w:numPr>
          <w:ilvl w:val="0"/>
          <w:numId w:val="12"/>
        </w:numPr>
        <w:rPr>
          <w:rFonts w:ascii="Arial" w:cs="Arial" w:eastAsia="Arial" w:hAnsi="Arial"/>
          <w:sz w:val="32"/>
          <w:szCs w:val="32"/>
          <w:color w:val="auto"/>
        </w:rPr>
      </w:pPr>
      <w:r>
        <w:rPr>
          <w:rFonts w:ascii="宋体" w:cs="宋体" w:eastAsia="宋体" w:hAnsi="宋体"/>
          <w:sz w:val="32"/>
          <w:szCs w:val="32"/>
          <w:color w:val="auto"/>
        </w:rPr>
        <w:t>无形资产的名称、形成过程、存在形式、存在期限、权属、原始入账金额、摊销政策、摊余价值等。</w:t>
      </w:r>
    </w:p>
    <w:p>
      <w:pPr>
        <w:spacing w:after="0" w:line="307" w:lineRule="exact"/>
        <w:rPr>
          <w:rFonts w:ascii="Arial" w:cs="Arial" w:eastAsia="Arial" w:hAnsi="Arial"/>
          <w:sz w:val="32"/>
          <w:szCs w:val="32"/>
          <w:color w:val="auto"/>
        </w:rPr>
      </w:pPr>
    </w:p>
    <w:p>
      <w:pPr>
        <w:jc w:val="both"/>
        <w:ind w:left="260" w:right="340" w:firstLine="643"/>
        <w:spacing w:after="0" w:line="521" w:lineRule="exact"/>
        <w:tabs>
          <w:tab w:leader="none" w:pos="1381" w:val="left"/>
        </w:tabs>
        <w:numPr>
          <w:ilvl w:val="0"/>
          <w:numId w:val="12"/>
        </w:numPr>
        <w:rPr>
          <w:rFonts w:ascii="Arial" w:cs="Arial" w:eastAsia="Arial" w:hAnsi="Arial"/>
          <w:sz w:val="31"/>
          <w:szCs w:val="31"/>
          <w:color w:val="auto"/>
        </w:rPr>
      </w:pPr>
      <w:r>
        <w:rPr>
          <w:rFonts w:ascii="宋体" w:cs="宋体" w:eastAsia="宋体" w:hAnsi="宋体"/>
          <w:sz w:val="31"/>
          <w:szCs w:val="31"/>
          <w:color w:val="auto"/>
        </w:rPr>
        <w:t>无形资产核实的内容、方法、过程和结论（从法律、经济、技术及获利能力等角度分析说明所申报评估的无形资产的存在；说明无形资产的特征、获利能力、获利期限；已实际应</w:t>
      </w:r>
    </w:p>
    <w:p>
      <w:pPr>
        <w:sectPr>
          <w:pgSz w:w="11900" w:h="16838" w:orient="portrait"/>
          <w:cols w:equalWidth="0" w:num="1">
            <w:col w:w="9240"/>
          </w:cols>
          <w:pgMar w:left="1440" w:top="1440" w:right="1226" w:bottom="1002" w:gutter="0" w:footer="0" w:header="0"/>
        </w:sectPr>
      </w:pPr>
    </w:p>
    <w:bookmarkStart w:id="43" w:name="page44"/>
    <w:bookmarkEnd w:id="43"/>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用的无形资产，应当说明其应用及效益状况）。</w:t>
      </w:r>
    </w:p>
    <w:p>
      <w:pPr>
        <w:spacing w:after="0" w:line="248" w:lineRule="exact"/>
        <w:rPr>
          <w:sz w:val="20"/>
          <w:szCs w:val="20"/>
          <w:color w:val="auto"/>
        </w:rPr>
      </w:pPr>
    </w:p>
    <w:p>
      <w:pPr>
        <w:ind w:left="1380" w:hanging="477"/>
        <w:spacing w:after="0" w:line="376" w:lineRule="exact"/>
        <w:tabs>
          <w:tab w:leader="none" w:pos="1380" w:val="left"/>
        </w:tabs>
        <w:numPr>
          <w:ilvl w:val="0"/>
          <w:numId w:val="13"/>
        </w:numPr>
        <w:rPr>
          <w:rFonts w:ascii="Arial" w:cs="Arial" w:eastAsia="Arial" w:hAnsi="Arial"/>
          <w:sz w:val="31"/>
          <w:szCs w:val="31"/>
          <w:color w:val="auto"/>
        </w:rPr>
      </w:pPr>
      <w:r>
        <w:rPr>
          <w:rFonts w:ascii="宋体" w:cs="宋体" w:eastAsia="宋体" w:hAnsi="宋体"/>
          <w:sz w:val="31"/>
          <w:szCs w:val="31"/>
          <w:color w:val="auto"/>
        </w:rPr>
        <w:t>选取评估方法的理由，并列示主要计算公式及参数涵义。</w:t>
      </w:r>
    </w:p>
    <w:p>
      <w:pPr>
        <w:spacing w:after="0" w:line="306" w:lineRule="exact"/>
        <w:rPr>
          <w:rFonts w:ascii="Arial" w:cs="Arial" w:eastAsia="Arial" w:hAnsi="Arial"/>
          <w:sz w:val="31"/>
          <w:szCs w:val="31"/>
          <w:color w:val="auto"/>
        </w:rPr>
      </w:pPr>
    </w:p>
    <w:p>
      <w:pPr>
        <w:ind w:left="260" w:right="320" w:firstLine="643"/>
        <w:spacing w:after="0" w:line="471" w:lineRule="exact"/>
        <w:tabs>
          <w:tab w:leader="none" w:pos="1381" w:val="left"/>
        </w:tabs>
        <w:numPr>
          <w:ilvl w:val="0"/>
          <w:numId w:val="13"/>
        </w:numPr>
        <w:rPr>
          <w:rFonts w:ascii="Arial" w:cs="Arial" w:eastAsia="Arial" w:hAnsi="Arial"/>
          <w:sz w:val="32"/>
          <w:szCs w:val="32"/>
          <w:color w:val="auto"/>
        </w:rPr>
      </w:pPr>
      <w:r>
        <w:rPr>
          <w:rFonts w:ascii="宋体" w:cs="宋体" w:eastAsia="宋体" w:hAnsi="宋体"/>
          <w:sz w:val="32"/>
          <w:szCs w:val="32"/>
          <w:color w:val="auto"/>
        </w:rPr>
        <w:t>采用收益法评估，应当说明收益预测的依据，如市场调查结论、订单合同、政府推广文件等。</w:t>
      </w:r>
    </w:p>
    <w:p>
      <w:pPr>
        <w:spacing w:after="0" w:line="306" w:lineRule="exact"/>
        <w:rPr>
          <w:rFonts w:ascii="Arial" w:cs="Arial" w:eastAsia="Arial" w:hAnsi="Arial"/>
          <w:sz w:val="32"/>
          <w:szCs w:val="32"/>
          <w:color w:val="auto"/>
        </w:rPr>
      </w:pPr>
    </w:p>
    <w:p>
      <w:pPr>
        <w:ind w:left="260" w:right="320" w:firstLine="643"/>
        <w:spacing w:after="0" w:line="471" w:lineRule="exact"/>
        <w:tabs>
          <w:tab w:leader="none" w:pos="1381" w:val="left"/>
        </w:tabs>
        <w:numPr>
          <w:ilvl w:val="0"/>
          <w:numId w:val="13"/>
        </w:numPr>
        <w:rPr>
          <w:rFonts w:ascii="Arial" w:cs="Arial" w:eastAsia="Arial" w:hAnsi="Arial"/>
          <w:sz w:val="32"/>
          <w:szCs w:val="32"/>
          <w:color w:val="auto"/>
        </w:rPr>
      </w:pPr>
      <w:r>
        <w:rPr>
          <w:rFonts w:ascii="宋体" w:cs="宋体" w:eastAsia="宋体" w:hAnsi="宋体"/>
          <w:sz w:val="32"/>
          <w:szCs w:val="32"/>
          <w:color w:val="auto"/>
        </w:rPr>
        <w:t>采用成本法评估，应当说明费用项目的构成、各费用项目的测算过程、采用的价格和费用标准等。</w:t>
      </w:r>
    </w:p>
    <w:p>
      <w:pPr>
        <w:spacing w:after="0" w:line="307" w:lineRule="exact"/>
        <w:rPr>
          <w:rFonts w:ascii="Arial" w:cs="Arial" w:eastAsia="Arial" w:hAnsi="Arial"/>
          <w:sz w:val="32"/>
          <w:szCs w:val="32"/>
          <w:color w:val="auto"/>
        </w:rPr>
      </w:pPr>
    </w:p>
    <w:p>
      <w:pPr>
        <w:jc w:val="both"/>
        <w:ind w:left="260" w:right="320" w:firstLine="643"/>
        <w:spacing w:after="0" w:line="547" w:lineRule="exact"/>
        <w:tabs>
          <w:tab w:leader="none" w:pos="1381" w:val="left"/>
        </w:tabs>
        <w:numPr>
          <w:ilvl w:val="0"/>
          <w:numId w:val="13"/>
        </w:numPr>
        <w:rPr>
          <w:rFonts w:ascii="Arial" w:cs="Arial" w:eastAsia="Arial" w:hAnsi="Arial"/>
          <w:sz w:val="32"/>
          <w:szCs w:val="32"/>
          <w:color w:val="auto"/>
        </w:rPr>
      </w:pPr>
      <w:r>
        <w:rPr>
          <w:rFonts w:ascii="宋体" w:cs="宋体" w:eastAsia="宋体" w:hAnsi="宋体"/>
          <w:sz w:val="32"/>
          <w:szCs w:val="32"/>
          <w:color w:val="auto"/>
        </w:rPr>
        <w:t>采用市场法评估，应当说明所选交易实例的依据或者理由、交易实例的基本情况、成交时间、交易状况及交易价格内涵等，对所选取的交易实例，应当全面介绍比较因素、比较结果及评估值确定的方法和结论。</w:t>
      </w:r>
    </w:p>
    <w:p>
      <w:pPr>
        <w:spacing w:after="0" w:line="238"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20</w:t>
      </w:r>
      <w:r>
        <w:rPr>
          <w:rFonts w:ascii="宋体" w:cs="宋体" w:eastAsia="宋体" w:hAnsi="宋体"/>
          <w:sz w:val="32"/>
          <w:szCs w:val="32"/>
          <w:color w:val="auto"/>
        </w:rPr>
        <w:t>．开发支出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）开发支出的内容和金额。</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）开发支出核实的方法和结论。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）开发支出评估值确定的方法和结论。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21</w:t>
      </w:r>
      <w:r>
        <w:rPr>
          <w:rFonts w:ascii="宋体" w:cs="宋体" w:eastAsia="宋体" w:hAnsi="宋体"/>
          <w:sz w:val="32"/>
          <w:szCs w:val="32"/>
          <w:color w:val="auto"/>
        </w:rPr>
        <w:t>．商誉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）商誉的账面价值及其形成原因。</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）商誉所对应资产组的账面价值。</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）商誉的评估处理方法和结论。</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22</w:t>
      </w:r>
      <w:r>
        <w:rPr>
          <w:rFonts w:ascii="宋体" w:cs="宋体" w:eastAsia="宋体" w:hAnsi="宋体"/>
          <w:sz w:val="32"/>
          <w:szCs w:val="32"/>
          <w:color w:val="auto"/>
        </w:rPr>
        <w:t>．长期待摊费用</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）长期待摊费用的内容、原始发生额和摊销期。</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）所形成的资产或者权利是否已经在其他类型资产中反</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映，如果反映，应当说明不另计评估值。</w:t>
      </w:r>
    </w:p>
    <w:p>
      <w:pPr>
        <w:sectPr>
          <w:pgSz w:w="11900" w:h="16838" w:orient="portrait"/>
          <w:cols w:equalWidth="0" w:num="1">
            <w:col w:w="9220"/>
          </w:cols>
          <w:pgMar w:left="1440" w:top="1440" w:right="1246" w:bottom="998" w:gutter="0" w:footer="0" w:header="0"/>
        </w:sectPr>
      </w:pPr>
    </w:p>
    <w:bookmarkStart w:id="44" w:name="page45"/>
    <w:bookmarkEnd w:id="44"/>
    <w:p>
      <w:pPr>
        <w:spacing w:after="0" w:line="343"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）长期待摊费用核实的方法和结论。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）结合长期待摊费用的具体内容，说明尚未摊销完毕的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长期待摊费用是否存在尚存的资产或者权利，如果存在，应当</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指明受益期。</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23</w:t>
      </w:r>
      <w:r>
        <w:rPr>
          <w:rFonts w:ascii="宋体" w:cs="宋体" w:eastAsia="宋体" w:hAnsi="宋体"/>
          <w:sz w:val="32"/>
          <w:szCs w:val="32"/>
          <w:color w:val="auto"/>
        </w:rPr>
        <w:t>．递延所得税资产</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）递延所得税资产的内容和种类。</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）递延所得税资产核实的方法和结论。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）递延所得税资产评估值确定的方法和结论。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24</w:t>
      </w:r>
      <w:r>
        <w:rPr>
          <w:rFonts w:ascii="宋体" w:cs="宋体" w:eastAsia="宋体" w:hAnsi="宋体"/>
          <w:sz w:val="32"/>
          <w:szCs w:val="32"/>
          <w:color w:val="auto"/>
        </w:rPr>
        <w:t>．其他非流动资产</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）其他非流动资产的内容、种类及形成原因等。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）其他非流动资产核实的方法和结论。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）其他非流动资产评估值确定的方法和结论。</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25</w:t>
      </w:r>
      <w:r>
        <w:rPr>
          <w:rFonts w:ascii="宋体" w:cs="宋体" w:eastAsia="宋体" w:hAnsi="宋体"/>
          <w:sz w:val="32"/>
          <w:szCs w:val="32"/>
          <w:color w:val="auto"/>
        </w:rPr>
        <w:t>．短期借款</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）借款的金额、发生日期、放贷银行名称、还款期限、</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贷款利率以及抵（质）押情况。</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）对借款的函证情况。</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）利息结算、支付情况，并说明利息支付情况对评估值</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的影响。</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26</w:t>
      </w:r>
      <w:r>
        <w:rPr>
          <w:rFonts w:ascii="宋体" w:cs="宋体" w:eastAsia="宋体" w:hAnsi="宋体"/>
          <w:sz w:val="32"/>
          <w:szCs w:val="32"/>
          <w:color w:val="auto"/>
        </w:rPr>
        <w:t>．交易性金融负债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）交易性金融负债的种类和核实方法。</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）交易性金融负债票面利率计算、支付的情况。</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）承担的交易性金融负债的公允价值的形成。</w:t>
      </w:r>
    </w:p>
    <w:p>
      <w:pPr>
        <w:sectPr>
          <w:pgSz w:w="11900" w:h="16838" w:orient="portrait"/>
          <w:cols w:equalWidth="0" w:num="1">
            <w:col w:w="9060"/>
          </w:cols>
          <w:pgMar w:left="1440" w:top="1440" w:right="1406" w:bottom="998" w:gutter="0" w:footer="0" w:header="0"/>
        </w:sectPr>
      </w:pPr>
    </w:p>
    <w:bookmarkStart w:id="45" w:name="page46"/>
    <w:bookmarkEnd w:id="45"/>
    <w:p>
      <w:pPr>
        <w:spacing w:after="0" w:line="355"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）交易性金融负债公允价值与评估价值类型的一致性，</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说明评估值确定的方法和结论。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27</w:t>
      </w:r>
      <w:r>
        <w:rPr>
          <w:rFonts w:ascii="宋体" w:cs="宋体" w:eastAsia="宋体" w:hAnsi="宋体"/>
          <w:sz w:val="32"/>
          <w:szCs w:val="32"/>
          <w:color w:val="auto"/>
        </w:rPr>
        <w:t>．应付票据</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）应付票据的种类（银行承兑、商业承兑）、签发日、</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到期日。</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）应付票据核实的方法和结论。</w:t>
      </w:r>
    </w:p>
    <w:p>
      <w:pPr>
        <w:spacing w:after="0" w:line="249"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）带息票据，应当说明利息计息、支付情况，并说明已</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考虑利息支付对评估值的影响。</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28</w:t>
      </w:r>
      <w:r>
        <w:rPr>
          <w:rFonts w:ascii="宋体" w:cs="宋体" w:eastAsia="宋体" w:hAnsi="宋体"/>
          <w:sz w:val="32"/>
          <w:szCs w:val="32"/>
          <w:color w:val="auto"/>
        </w:rPr>
        <w:t>．应付账款、预收账款和其他应付款</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）应付账款、预收账款和其他应付款的主要业务内容、</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发生日期。</w:t>
      </w:r>
    </w:p>
    <w:p>
      <w:pPr>
        <w:spacing w:after="0" w:line="260" w:lineRule="exact"/>
        <w:rPr>
          <w:sz w:val="20"/>
          <w:szCs w:val="20"/>
          <w:color w:val="auto"/>
        </w:rPr>
      </w:pPr>
    </w:p>
    <w:p>
      <w:pPr>
        <w:ind w:left="900"/>
        <w:spacing w:after="0" w:line="364" w:lineRule="exact"/>
        <w:rPr>
          <w:sz w:val="20"/>
          <w:szCs w:val="20"/>
          <w:color w:val="auto"/>
        </w:rPr>
      </w:pPr>
      <w:r>
        <w:rPr>
          <w:rFonts w:ascii="宋体" w:cs="宋体" w:eastAsia="宋体" w:hAnsi="宋体"/>
          <w:sz w:val="30"/>
          <w:szCs w:val="30"/>
          <w:color w:val="auto"/>
        </w:rPr>
        <w:t>（</w:t>
      </w:r>
      <w:r>
        <w:rPr>
          <w:rFonts w:ascii="Arial" w:cs="Arial" w:eastAsia="Arial" w:hAnsi="Arial"/>
          <w:sz w:val="30"/>
          <w:szCs w:val="30"/>
          <w:color w:val="auto"/>
        </w:rPr>
        <w:t>2</w:t>
      </w:r>
      <w:r>
        <w:rPr>
          <w:rFonts w:ascii="宋体" w:cs="宋体" w:eastAsia="宋体" w:hAnsi="宋体"/>
          <w:sz w:val="30"/>
          <w:szCs w:val="30"/>
          <w:color w:val="auto"/>
        </w:rPr>
        <w:t>）应付账款、预收账款和其他应付款核实的方法和结论。</w:t>
      </w:r>
    </w:p>
    <w:p>
      <w:pPr>
        <w:spacing w:after="0" w:line="249"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）对于无需支付的应付账款、预收账款和其他应付款，</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应当说明依据和理由。</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29</w:t>
      </w:r>
      <w:r>
        <w:rPr>
          <w:rFonts w:ascii="宋体" w:cs="宋体" w:eastAsia="宋体" w:hAnsi="宋体"/>
          <w:sz w:val="32"/>
          <w:szCs w:val="32"/>
          <w:color w:val="auto"/>
        </w:rPr>
        <w:t>．应付职工薪酬</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）应付职工薪酬的内容（包括工资、职工福利、社会保</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险费、住房公积金、工会经费、职工教育经费、非货币性福利、</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辞退福利、股份支付、按规定从净利润中提取的职工奖励及福</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利基金等）和对应金额等。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）被评估单位相关职工薪酬政策。</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）工资、职工福利、社会保险费、住房公积金、工会经</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费、职工教育经费、非货币性福利、辞退福利、股份支付、按</w:t>
      </w:r>
    </w:p>
    <w:p>
      <w:pPr>
        <w:sectPr>
          <w:pgSz w:w="11900" w:h="16838" w:orient="portrait"/>
          <w:cols w:equalWidth="0" w:num="1">
            <w:col w:w="9060"/>
          </w:cols>
          <w:pgMar w:left="1440" w:top="1440" w:right="1406" w:bottom="998" w:gutter="0" w:footer="0" w:header="0"/>
        </w:sectPr>
      </w:pPr>
    </w:p>
    <w:bookmarkStart w:id="46" w:name="page47"/>
    <w:bookmarkEnd w:id="46"/>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规定从净利润中提取的职工奖励及福利基金等的计提、发放或</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者使用核实的方法和结论。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）对于无需支付的职工薪酬，应当说明依据和理由。</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30</w:t>
      </w:r>
      <w:r>
        <w:rPr>
          <w:rFonts w:ascii="宋体" w:cs="宋体" w:eastAsia="宋体" w:hAnsi="宋体"/>
          <w:sz w:val="32"/>
          <w:szCs w:val="32"/>
          <w:color w:val="auto"/>
        </w:rPr>
        <w:t>．应交税费</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）应交税费的内容（包括增值税、消费税、营业税、所</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得税、资源税、土地增值税、城市维护建设税、房产税、土地</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使用税、车船使用税、教育费附加、矿产资源补偿费、企业代</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扣代交的个人所得税等）和对应金额。</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2</w:t>
      </w:r>
      <w:r>
        <w:rPr>
          <w:rFonts w:ascii="宋体" w:cs="宋体" w:eastAsia="宋体" w:hAnsi="宋体"/>
          <w:sz w:val="31"/>
          <w:szCs w:val="31"/>
          <w:color w:val="auto"/>
        </w:rPr>
        <w:t>）被评估单位相关的税负政策，说明被评估单位所享有</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的优惠税收政策，享有优惠政策的期限和批准单位等。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）应交税费核实的方法和结论。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）说明借方余额的原因及评估方法。</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31</w:t>
      </w:r>
      <w:r>
        <w:rPr>
          <w:rFonts w:ascii="宋体" w:cs="宋体" w:eastAsia="宋体" w:hAnsi="宋体"/>
          <w:sz w:val="32"/>
          <w:szCs w:val="32"/>
          <w:color w:val="auto"/>
        </w:rPr>
        <w:t>．应付利息</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）应付利息的内容（包括对应的本金、分期付息到期还</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本的长期借款、企业债券等应支付的利息等）、金额等。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）应付利息核实的方法和结论。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）按合同利率或者实际利率计算确定应付未付利息的过</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程和结论。</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32</w:t>
      </w:r>
      <w:r>
        <w:rPr>
          <w:rFonts w:ascii="宋体" w:cs="宋体" w:eastAsia="宋体" w:hAnsi="宋体"/>
          <w:sz w:val="32"/>
          <w:szCs w:val="32"/>
          <w:color w:val="auto"/>
        </w:rPr>
        <w:t>．应付股利（应付利润）</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）应付股利发生的期限和金额。</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2</w:t>
      </w:r>
      <w:r>
        <w:rPr>
          <w:rFonts w:ascii="宋体" w:cs="宋体" w:eastAsia="宋体" w:hAnsi="宋体"/>
          <w:sz w:val="31"/>
          <w:szCs w:val="31"/>
          <w:color w:val="auto"/>
        </w:rPr>
        <w:t>）应付股利的核实内容（被评估单位股利或者利润分配</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政策、相关应付股利分配的文件的核实情况）和方法。</w:t>
      </w:r>
    </w:p>
    <w:p>
      <w:pPr>
        <w:sectPr>
          <w:pgSz w:w="11900" w:h="16838" w:orient="portrait"/>
          <w:cols w:equalWidth="0" w:num="1">
            <w:col w:w="9026"/>
          </w:cols>
          <w:pgMar w:left="1440" w:top="1440" w:right="1440" w:bottom="998" w:gutter="0" w:footer="0" w:header="0"/>
        </w:sectPr>
      </w:pPr>
    </w:p>
    <w:bookmarkStart w:id="47" w:name="page48"/>
    <w:bookmarkEnd w:id="47"/>
    <w:p>
      <w:pPr>
        <w:spacing w:after="0" w:line="355"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）对于长期未付的（应付股利），应当说明原因，并说</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明是否考虑可能需要支付逾期利息对企业负债增加的因素。</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）应付股利评估值的确定方法和结论。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5</w:t>
      </w:r>
      <w:r>
        <w:rPr>
          <w:rFonts w:ascii="宋体" w:cs="宋体" w:eastAsia="宋体" w:hAnsi="宋体"/>
          <w:sz w:val="31"/>
          <w:szCs w:val="31"/>
          <w:color w:val="auto"/>
        </w:rPr>
        <w:t>）董事会或者类似机构通过的利润分配方案中拟分配的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现金股利或者利润，尽管账面未记录，但应当特别说明根据会</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计附注披露的内容可能对企业价值的影响。</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33</w:t>
      </w:r>
      <w:r>
        <w:rPr>
          <w:rFonts w:ascii="宋体" w:cs="宋体" w:eastAsia="宋体" w:hAnsi="宋体"/>
          <w:sz w:val="32"/>
          <w:szCs w:val="32"/>
          <w:color w:val="auto"/>
        </w:rPr>
        <w:t>．一年内到期的非流动负债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）一年内到期的非流动负债的内容和金额。</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）一年内到期的非流动负债核实的方法和结论。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3</w:t>
      </w:r>
      <w:r>
        <w:rPr>
          <w:rFonts w:ascii="宋体" w:cs="宋体" w:eastAsia="宋体" w:hAnsi="宋体"/>
          <w:sz w:val="31"/>
          <w:szCs w:val="31"/>
          <w:color w:val="auto"/>
        </w:rPr>
        <w:t>）一年内到期的非流动负债评估值确定的方法和结论。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34</w:t>
      </w:r>
      <w:r>
        <w:rPr>
          <w:rFonts w:ascii="宋体" w:cs="宋体" w:eastAsia="宋体" w:hAnsi="宋体"/>
          <w:sz w:val="32"/>
          <w:szCs w:val="32"/>
          <w:color w:val="auto"/>
        </w:rPr>
        <w:t>．其他流动负债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）其他流动负债的内容和金额。</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）其他流动负债核实的方法和结论。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）其他流动负债评估值确定的方法和结论。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35</w:t>
      </w:r>
      <w:r>
        <w:rPr>
          <w:rFonts w:ascii="宋体" w:cs="宋体" w:eastAsia="宋体" w:hAnsi="宋体"/>
          <w:sz w:val="32"/>
          <w:szCs w:val="32"/>
          <w:color w:val="auto"/>
        </w:rPr>
        <w:t>．长期借款</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）借款的金额、发生日期、放贷银行名称、还款期限和</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贷款利率以及抵（质）押情况。</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）对借款的函证情况。</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）长期借款评估值的确定方法和结论。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）利率水平、结算方式和结算时间对评估结论的影响。</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36</w:t>
      </w:r>
      <w:r>
        <w:rPr>
          <w:rFonts w:ascii="宋体" w:cs="宋体" w:eastAsia="宋体" w:hAnsi="宋体"/>
          <w:sz w:val="32"/>
          <w:szCs w:val="32"/>
          <w:color w:val="auto"/>
        </w:rPr>
        <w:t>．应付债券</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）应付债券的种类（分期付息一次还本的债券、一次还</w:t>
      </w:r>
    </w:p>
    <w:p>
      <w:pPr>
        <w:sectPr>
          <w:pgSz w:w="11900" w:h="16838" w:orient="portrait"/>
          <w:cols w:equalWidth="0" w:num="1">
            <w:col w:w="9060"/>
          </w:cols>
          <w:pgMar w:left="1440" w:top="1440" w:right="1406" w:bottom="998" w:gutter="0" w:footer="0" w:header="0"/>
        </w:sectPr>
      </w:pPr>
    </w:p>
    <w:bookmarkStart w:id="48" w:name="page49"/>
    <w:bookmarkEnd w:id="48"/>
    <w:p>
      <w:pPr>
        <w:spacing w:after="0" w:line="377"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本付息的债券等）、票面金额、债券票面利率、还本付息期限与</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方式、发行总额、发行日期和编号、委托代售单位、转换股份</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等情况。</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）应付债券核实的方法和结论。对可转换公司债券，应</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当说明应付债券为该项可转换公司债券包含的负债成份。</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）说明是否考虑可能需要支付逾期利息对企业负债增加</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的因素。</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）说明是否存在按票面利率计算确定的应付未付利息与</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按摊余成本和实际利率计算确定的债券利息费用的差额，以及</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评估值确定的方法。</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）可转换公司债券评估值确定的方法和结论。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37</w:t>
      </w:r>
      <w:r>
        <w:rPr>
          <w:rFonts w:ascii="宋体" w:cs="宋体" w:eastAsia="宋体" w:hAnsi="宋体"/>
          <w:sz w:val="32"/>
          <w:szCs w:val="32"/>
          <w:color w:val="auto"/>
        </w:rPr>
        <w:t>．长期应付款</w:t>
      </w:r>
    </w:p>
    <w:p>
      <w:pPr>
        <w:spacing w:after="0" w:line="261" w:lineRule="exact"/>
        <w:rPr>
          <w:sz w:val="20"/>
          <w:szCs w:val="20"/>
          <w:color w:val="auto"/>
        </w:rPr>
      </w:pPr>
    </w:p>
    <w:p>
      <w:pPr>
        <w:ind w:left="900"/>
        <w:spacing w:after="0" w:line="364" w:lineRule="exact"/>
        <w:rPr>
          <w:sz w:val="20"/>
          <w:szCs w:val="20"/>
          <w:color w:val="auto"/>
        </w:rPr>
      </w:pPr>
      <w:r>
        <w:rPr>
          <w:rFonts w:ascii="宋体" w:cs="宋体" w:eastAsia="宋体" w:hAnsi="宋体"/>
          <w:sz w:val="30"/>
          <w:szCs w:val="30"/>
          <w:color w:val="auto"/>
        </w:rPr>
        <w:t>（</w:t>
      </w:r>
      <w:r>
        <w:rPr>
          <w:rFonts w:ascii="Arial" w:cs="Arial" w:eastAsia="Arial" w:hAnsi="Arial"/>
          <w:sz w:val="30"/>
          <w:szCs w:val="30"/>
          <w:color w:val="auto"/>
        </w:rPr>
        <w:t>1</w:t>
      </w:r>
      <w:r>
        <w:rPr>
          <w:rFonts w:ascii="宋体" w:cs="宋体" w:eastAsia="宋体" w:hAnsi="宋体"/>
          <w:sz w:val="30"/>
          <w:szCs w:val="30"/>
          <w:color w:val="auto"/>
        </w:rPr>
        <w:t>）长期应付款的种类（应付融资租入固定资产的租赁费、</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以分期付款方式购入固定资产等发生的应付款项等）、发生日期</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和金额、约定的还款期限、方式等。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）长期应付款核实的方法和结论。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）长期应付款评估值确定的方法和结论。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38</w:t>
      </w:r>
      <w:r>
        <w:rPr>
          <w:rFonts w:ascii="宋体" w:cs="宋体" w:eastAsia="宋体" w:hAnsi="宋体"/>
          <w:sz w:val="32"/>
          <w:szCs w:val="32"/>
          <w:color w:val="auto"/>
        </w:rPr>
        <w:t>．专项应付款</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）专项应付款形成依据、项目名称、性质（取得政府作</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为企业所有者投入的具有专项或者特定用途的款项）、内容、约</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定的验收时间和方式等核实情况。</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）用于工程项目的专项应付款资产形成的进度情况，不</w:t>
      </w:r>
    </w:p>
    <w:p>
      <w:pPr>
        <w:sectPr>
          <w:pgSz w:w="11900" w:h="16838" w:orient="portrait"/>
          <w:cols w:equalWidth="0" w:num="1">
            <w:col w:w="9080"/>
          </w:cols>
          <w:pgMar w:left="1440" w:top="1440" w:right="1386" w:bottom="998" w:gutter="0" w:footer="0" w:header="0"/>
        </w:sectPr>
      </w:pPr>
    </w:p>
    <w:bookmarkStart w:id="49" w:name="page50"/>
    <w:bookmarkEnd w:id="49"/>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可能形成长期资产需要核销的情况。</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）尚未转销的专项应付款是否为企业真实的负债。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39</w:t>
      </w:r>
      <w:r>
        <w:rPr>
          <w:rFonts w:ascii="宋体" w:cs="宋体" w:eastAsia="宋体" w:hAnsi="宋体"/>
          <w:sz w:val="32"/>
          <w:szCs w:val="32"/>
          <w:color w:val="auto"/>
        </w:rPr>
        <w:t>．预计负债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）预计负债的金额和种类（企业确认的对外提供担保、</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未决诉讼、产品质量保证、重组义务、亏损性合同等）。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）预计负债核实的方法和结论。</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）企业确认预计负债的证据以及第三方或者债权人的询</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证证据等。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）预计负债评估值确定的方法和结论。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40</w:t>
      </w:r>
      <w:r>
        <w:rPr>
          <w:rFonts w:ascii="宋体" w:cs="宋体" w:eastAsia="宋体" w:hAnsi="宋体"/>
          <w:sz w:val="32"/>
          <w:szCs w:val="32"/>
          <w:color w:val="auto"/>
        </w:rPr>
        <w:t>．递延所得税负债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）递延所得税负债的金额、种类和企业确认依据。</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）递延所得税负债核实的方法和结论。</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）递延所得税负债的具体内容，说明递延所得税负债评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估值确定的过程和结论。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41</w:t>
      </w:r>
      <w:r>
        <w:rPr>
          <w:rFonts w:ascii="宋体" w:cs="宋体" w:eastAsia="宋体" w:hAnsi="宋体"/>
          <w:sz w:val="32"/>
          <w:szCs w:val="32"/>
          <w:color w:val="auto"/>
        </w:rPr>
        <w:t>．其他非流动负债</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）其他非流动负债的种类、形成原因、企业确认依据等。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）其他非流动负债核实的方法和结论。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）其他非流动负债评估值确定的方法和结论。</w:t>
      </w:r>
    </w:p>
    <w:p>
      <w:pPr>
        <w:spacing w:after="0" w:line="260"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（二）收益法</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采用收益法进行企业价值评估，应当根据行业特点、企业</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经营方式和所确定的预期收益口径以及评估的其他具体情况等，</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确定评估技术说明的编写内容。一般编写内容指引如下。</w:t>
      </w:r>
    </w:p>
    <w:p>
      <w:pPr>
        <w:sectPr>
          <w:pgSz w:w="11900" w:h="16838" w:orient="portrait"/>
          <w:cols w:equalWidth="0" w:num="1">
            <w:col w:w="9220"/>
          </w:cols>
          <w:pgMar w:left="1440" w:top="1440" w:right="1246" w:bottom="998" w:gutter="0" w:footer="0" w:header="0"/>
        </w:sectPr>
      </w:pPr>
    </w:p>
    <w:bookmarkStart w:id="50" w:name="page51"/>
    <w:bookmarkEnd w:id="50"/>
    <w:p>
      <w:pPr>
        <w:spacing w:after="0" w:line="355"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．说明评估对象，即企业整体价值、股东全部权益和股东</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部分权益。</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．收益法的应用前提及选择的理由和依据</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）收益法的定义和原理。</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）收益法的应用前提。</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）收益法选择的理由和依据。</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．收益预测的假设条件</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收益预测的假设条件应当结合评估业务的具体情况确定。</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一般包括：</w:t>
      </w:r>
    </w:p>
    <w:p>
      <w:pPr>
        <w:spacing w:after="0" w:line="307" w:lineRule="exact"/>
        <w:rPr>
          <w:sz w:val="20"/>
          <w:szCs w:val="20"/>
          <w:color w:val="auto"/>
        </w:rPr>
      </w:pPr>
    </w:p>
    <w:p>
      <w:pPr>
        <w:jc w:val="both"/>
        <w:ind w:left="260" w:right="160" w:firstLine="641"/>
        <w:spacing w:after="0" w:line="522"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）国家现行的有关法律法规及政策、国家宏观经济形势无重大变化，本次交易各方所处地区的政治、经济和社会环境无重大变化。</w:t>
      </w:r>
    </w:p>
    <w:p>
      <w:pPr>
        <w:spacing w:after="0" w:line="309" w:lineRule="exact"/>
        <w:rPr>
          <w:sz w:val="20"/>
          <w:szCs w:val="20"/>
          <w:color w:val="auto"/>
        </w:rPr>
      </w:pPr>
    </w:p>
    <w:p>
      <w:pPr>
        <w:ind w:left="900"/>
        <w:spacing w:after="0" w:line="470" w:lineRule="exact"/>
        <w:rPr>
          <w:sz w:val="20"/>
          <w:szCs w:val="20"/>
          <w:color w:val="auto"/>
        </w:rPr>
      </w:pPr>
      <w:r>
        <w:rPr>
          <w:rFonts w:ascii="宋体" w:cs="宋体" w:eastAsia="宋体" w:hAnsi="宋体"/>
          <w:sz w:val="30"/>
          <w:szCs w:val="30"/>
          <w:color w:val="auto"/>
        </w:rPr>
        <w:t>（</w:t>
      </w:r>
      <w:r>
        <w:rPr>
          <w:rFonts w:ascii="Arial" w:cs="Arial" w:eastAsia="Arial" w:hAnsi="Arial"/>
          <w:sz w:val="30"/>
          <w:szCs w:val="30"/>
          <w:color w:val="auto"/>
        </w:rPr>
        <w:t>2</w:t>
      </w:r>
      <w:r>
        <w:rPr>
          <w:rFonts w:ascii="宋体" w:cs="宋体" w:eastAsia="宋体" w:hAnsi="宋体"/>
          <w:sz w:val="30"/>
          <w:szCs w:val="30"/>
          <w:color w:val="auto"/>
        </w:rPr>
        <w:t>）针对评估基准日资产的实际状况，假设企业持续经营。（</w:t>
      </w:r>
      <w:r>
        <w:rPr>
          <w:rFonts w:ascii="Arial" w:cs="Arial" w:eastAsia="Arial" w:hAnsi="Arial"/>
          <w:sz w:val="30"/>
          <w:szCs w:val="30"/>
          <w:color w:val="auto"/>
        </w:rPr>
        <w:t>3</w:t>
      </w:r>
      <w:r>
        <w:rPr>
          <w:rFonts w:ascii="宋体" w:cs="宋体" w:eastAsia="宋体" w:hAnsi="宋体"/>
          <w:sz w:val="30"/>
          <w:szCs w:val="30"/>
          <w:color w:val="auto"/>
        </w:rPr>
        <w:t>）假设公司的经营者是负责的，并且公司管理层有能力</w:t>
      </w:r>
    </w:p>
    <w:p>
      <w:pPr>
        <w:spacing w:after="0" w:line="261"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担当其职务。</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）除非另有说明，假设公司完全遵守所有有关的法律法</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规。</w:t>
      </w:r>
    </w:p>
    <w:p>
      <w:pPr>
        <w:spacing w:after="0" w:line="307" w:lineRule="exact"/>
        <w:rPr>
          <w:sz w:val="20"/>
          <w:szCs w:val="20"/>
          <w:color w:val="auto"/>
        </w:rPr>
      </w:pPr>
    </w:p>
    <w:p>
      <w:pPr>
        <w:ind w:left="260" w:right="160" w:firstLine="641"/>
        <w:spacing w:after="0" w:line="471"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）假设公司未来将采取的会计政策和编写此份报告时所采用的会计政策在重要方面基本一致。</w:t>
      </w:r>
    </w:p>
    <w:p>
      <w:pPr>
        <w:spacing w:after="0" w:line="308" w:lineRule="exact"/>
        <w:rPr>
          <w:sz w:val="20"/>
          <w:szCs w:val="20"/>
          <w:color w:val="auto"/>
        </w:rPr>
      </w:pPr>
    </w:p>
    <w:p>
      <w:pPr>
        <w:ind w:left="260" w:right="160" w:firstLine="641"/>
        <w:spacing w:after="0" w:line="471"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6</w:t>
      </w:r>
      <w:r>
        <w:rPr>
          <w:rFonts w:ascii="宋体" w:cs="宋体" w:eastAsia="宋体" w:hAnsi="宋体"/>
          <w:sz w:val="32"/>
          <w:szCs w:val="32"/>
          <w:color w:val="auto"/>
        </w:rPr>
        <w:t>）假设公司在现有的管理方式和管理水平的基础上，经营范围、方式与目前方向保持一致。</w:t>
      </w:r>
    </w:p>
    <w:p>
      <w:pPr>
        <w:spacing w:after="0" w:line="249"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7</w:t>
      </w:r>
      <w:r>
        <w:rPr>
          <w:rFonts w:ascii="宋体" w:cs="宋体" w:eastAsia="宋体" w:hAnsi="宋体"/>
          <w:sz w:val="31"/>
          <w:szCs w:val="31"/>
          <w:color w:val="auto"/>
        </w:rPr>
        <w:t>）有关利率、汇率、赋税基准及税率、政策性征收费用</w:t>
      </w:r>
    </w:p>
    <w:p>
      <w:pPr>
        <w:sectPr>
          <w:pgSz w:w="11900" w:h="16838" w:orient="portrait"/>
          <w:cols w:equalWidth="0" w:num="1">
            <w:col w:w="9060"/>
          </w:cols>
          <w:pgMar w:left="1440" w:top="1440" w:right="1406" w:bottom="998" w:gutter="0" w:footer="0" w:header="0"/>
        </w:sectPr>
      </w:pPr>
    </w:p>
    <w:bookmarkStart w:id="51" w:name="page52"/>
    <w:bookmarkEnd w:id="51"/>
    <w:p>
      <w:pPr>
        <w:spacing w:after="0" w:line="366"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等不发生重大变化。</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8</w:t>
      </w:r>
      <w:r>
        <w:rPr>
          <w:rFonts w:ascii="宋体" w:cs="宋体" w:eastAsia="宋体" w:hAnsi="宋体"/>
          <w:sz w:val="31"/>
          <w:szCs w:val="31"/>
          <w:color w:val="auto"/>
        </w:rPr>
        <w:t>）无其他人力不可抗拒因素及不可预见因素对企业造成</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重大不利影响。</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根据资产评估的要求，认定这些假设条件在评估基准日时</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成立，当未来经济环境发生较大变化时，将不承担由于假设条</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件改变而推导出不同评估结论的责任。</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．企业经营、资产、财务分析</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1</w:t>
      </w:r>
      <w:r>
        <w:rPr>
          <w:rFonts w:ascii="宋体" w:cs="宋体" w:eastAsia="宋体" w:hAnsi="宋体"/>
          <w:sz w:val="31"/>
          <w:szCs w:val="31"/>
          <w:color w:val="auto"/>
        </w:rPr>
        <w:t>）影响被评估单位经营的宏观及区域经济因素、被评估</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单位所在行业状况及发展前景、生产经营的历史情况、面临的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竞争情况及企业战略等。</w:t>
      </w:r>
    </w:p>
    <w:p>
      <w:pPr>
        <w:spacing w:after="0" w:line="260" w:lineRule="exact"/>
        <w:rPr>
          <w:sz w:val="20"/>
          <w:szCs w:val="20"/>
          <w:color w:val="auto"/>
        </w:rPr>
      </w:pPr>
    </w:p>
    <w:p>
      <w:pPr>
        <w:ind w:left="900"/>
        <w:spacing w:after="0" w:line="364" w:lineRule="exact"/>
        <w:rPr>
          <w:sz w:val="20"/>
          <w:szCs w:val="20"/>
          <w:color w:val="auto"/>
        </w:rPr>
      </w:pPr>
      <w:r>
        <w:rPr>
          <w:rFonts w:ascii="宋体" w:cs="宋体" w:eastAsia="宋体" w:hAnsi="宋体"/>
          <w:sz w:val="30"/>
          <w:szCs w:val="30"/>
          <w:color w:val="auto"/>
        </w:rPr>
        <w:t>（</w:t>
      </w:r>
      <w:r>
        <w:rPr>
          <w:rFonts w:ascii="Arial" w:cs="Arial" w:eastAsia="Arial" w:hAnsi="Arial"/>
          <w:sz w:val="30"/>
          <w:szCs w:val="30"/>
          <w:color w:val="auto"/>
        </w:rPr>
        <w:t>2</w:t>
      </w:r>
      <w:r>
        <w:rPr>
          <w:rFonts w:ascii="宋体" w:cs="宋体" w:eastAsia="宋体" w:hAnsi="宋体"/>
          <w:sz w:val="30"/>
          <w:szCs w:val="30"/>
          <w:color w:val="auto"/>
        </w:rPr>
        <w:t>）企业内部管理制度、人力资源、核心技术、研发状况、</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销售网络、特许经营权、管理层构成等经营管理状况。</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）企业历史年度财务分析。</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一般包括收入、成本和费用分析，盈利能力、偿债能力和</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营运能力分析以及成长性分析等。</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）经营性资产、非经营性资产、溢余资产分析。</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．评估计算及分析过程</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）收益模型的选取</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）选取收益法的具体测算方法及模型。</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）列示计算公式并对参数进行解释与说明。</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）收益年限的确定</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确定的收益年限并说明其理由。</w:t>
      </w:r>
    </w:p>
    <w:p>
      <w:pPr>
        <w:sectPr>
          <w:pgSz w:w="11900" w:h="16838" w:orient="portrait"/>
          <w:cols w:equalWidth="0" w:num="1">
            <w:col w:w="9026"/>
          </w:cols>
          <w:pgMar w:left="1440" w:top="1440" w:right="1440" w:bottom="998" w:gutter="0" w:footer="0" w:header="0"/>
        </w:sectPr>
      </w:pPr>
    </w:p>
    <w:bookmarkStart w:id="52" w:name="page53"/>
    <w:bookmarkEnd w:id="52"/>
    <w:p>
      <w:pPr>
        <w:spacing w:after="0" w:line="343"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）未来收益的确定</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）生产经营模式与收益主体、口径的相关性。</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）收入的预测。</w:t>
      </w:r>
    </w:p>
    <w:p>
      <w:pPr>
        <w:spacing w:after="0" w:line="259" w:lineRule="exact"/>
        <w:rPr>
          <w:sz w:val="20"/>
          <w:szCs w:val="20"/>
          <w:color w:val="auto"/>
        </w:rPr>
      </w:pPr>
    </w:p>
    <w:p>
      <w:pPr>
        <w:ind w:left="900"/>
        <w:spacing w:after="0" w:line="366" w:lineRule="exact"/>
        <w:rPr>
          <w:sz w:val="20"/>
          <w:szCs w:val="20"/>
          <w:color w:val="auto"/>
        </w:rPr>
      </w:pPr>
      <w:r>
        <w:rPr>
          <w:rFonts w:ascii="MS PGothic" w:cs="MS PGothic" w:eastAsia="MS PGothic" w:hAnsi="MS PGothic"/>
          <w:sz w:val="32"/>
          <w:szCs w:val="32"/>
          <w:color w:val="auto"/>
        </w:rPr>
        <w:t>①</w:t>
      </w:r>
      <w:r>
        <w:rPr>
          <w:rFonts w:ascii="宋体" w:cs="宋体" w:eastAsia="宋体" w:hAnsi="宋体"/>
          <w:sz w:val="32"/>
          <w:szCs w:val="32"/>
          <w:color w:val="auto"/>
        </w:rPr>
        <w:t>营业收入的预测。通常包括区域经济发展与市场环境、</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业内竞争情况与企业对策、公司的营业收入及构成分析和营业</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收入的预测。</w:t>
      </w:r>
    </w:p>
    <w:p>
      <w:pPr>
        <w:spacing w:after="0" w:line="260" w:lineRule="exact"/>
        <w:rPr>
          <w:sz w:val="20"/>
          <w:szCs w:val="20"/>
          <w:color w:val="auto"/>
        </w:rPr>
      </w:pPr>
    </w:p>
    <w:p>
      <w:pPr>
        <w:ind w:left="900"/>
        <w:spacing w:after="0" w:line="366" w:lineRule="exact"/>
        <w:rPr>
          <w:sz w:val="20"/>
          <w:szCs w:val="20"/>
          <w:color w:val="auto"/>
        </w:rPr>
      </w:pPr>
      <w:r>
        <w:rPr>
          <w:rFonts w:ascii="MS PGothic" w:cs="MS PGothic" w:eastAsia="MS PGothic" w:hAnsi="MS PGothic"/>
          <w:sz w:val="32"/>
          <w:szCs w:val="32"/>
          <w:color w:val="auto"/>
        </w:rPr>
        <w:t>②</w:t>
      </w:r>
      <w:r>
        <w:rPr>
          <w:rFonts w:ascii="宋体" w:cs="宋体" w:eastAsia="宋体" w:hAnsi="宋体"/>
          <w:sz w:val="32"/>
          <w:szCs w:val="32"/>
          <w:color w:val="auto"/>
        </w:rPr>
        <w:t>投资收益预测分析。</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）营业成本的预测。</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）销售费用的预测。</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）管理费用的预测。</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）财务费用的预测。</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7</w:t>
      </w:r>
      <w:r>
        <w:rPr>
          <w:rFonts w:ascii="宋体" w:cs="宋体" w:eastAsia="宋体" w:hAnsi="宋体"/>
          <w:sz w:val="32"/>
          <w:szCs w:val="32"/>
          <w:color w:val="auto"/>
        </w:rPr>
        <w:t>）营业税金及附加的估算。</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8</w:t>
      </w:r>
      <w:r>
        <w:rPr>
          <w:rFonts w:ascii="宋体" w:cs="宋体" w:eastAsia="宋体" w:hAnsi="宋体"/>
          <w:sz w:val="32"/>
          <w:szCs w:val="32"/>
          <w:color w:val="auto"/>
        </w:rPr>
        <w:t>）折旧与摊销的预测。</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9</w:t>
      </w:r>
      <w:r>
        <w:rPr>
          <w:rFonts w:ascii="宋体" w:cs="宋体" w:eastAsia="宋体" w:hAnsi="宋体"/>
          <w:sz w:val="32"/>
          <w:szCs w:val="32"/>
          <w:color w:val="auto"/>
        </w:rPr>
        <w:t>）资本性支出预测。</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10</w:t>
      </w:r>
      <w:r>
        <w:rPr>
          <w:rFonts w:ascii="宋体" w:cs="宋体" w:eastAsia="宋体" w:hAnsi="宋体"/>
          <w:sz w:val="32"/>
          <w:szCs w:val="32"/>
          <w:color w:val="auto"/>
        </w:rPr>
        <w:t>）营运资金预测、营运资金增加额的确定。</w:t>
      </w:r>
    </w:p>
    <w:p>
      <w:pPr>
        <w:spacing w:after="0" w:line="259" w:lineRule="exact"/>
        <w:rPr>
          <w:sz w:val="20"/>
          <w:szCs w:val="20"/>
          <w:color w:val="auto"/>
        </w:rPr>
      </w:pPr>
    </w:p>
    <w:p>
      <w:pPr>
        <w:ind w:left="900"/>
        <w:spacing w:after="0" w:line="366" w:lineRule="exact"/>
        <w:rPr>
          <w:sz w:val="20"/>
          <w:szCs w:val="20"/>
          <w:color w:val="auto"/>
        </w:rPr>
      </w:pPr>
      <w:r>
        <w:rPr>
          <w:rFonts w:ascii="MS PGothic" w:cs="MS PGothic" w:eastAsia="MS PGothic" w:hAnsi="MS PGothic"/>
          <w:sz w:val="32"/>
          <w:szCs w:val="32"/>
          <w:color w:val="auto"/>
        </w:rPr>
        <w:t>①</w:t>
      </w:r>
      <w:r>
        <w:rPr>
          <w:rFonts w:ascii="宋体" w:cs="宋体" w:eastAsia="宋体" w:hAnsi="宋体"/>
          <w:sz w:val="32"/>
          <w:szCs w:val="32"/>
          <w:color w:val="auto"/>
        </w:rPr>
        <w:t>企业历史年度有关资金营运指标</w:t>
      </w:r>
    </w:p>
    <w:p>
      <w:pPr>
        <w:spacing w:after="0" w:line="259" w:lineRule="exact"/>
        <w:rPr>
          <w:sz w:val="20"/>
          <w:szCs w:val="20"/>
          <w:color w:val="auto"/>
        </w:rPr>
      </w:pPr>
    </w:p>
    <w:p>
      <w:pPr>
        <w:ind w:left="900"/>
        <w:spacing w:after="0" w:line="366" w:lineRule="exact"/>
        <w:rPr>
          <w:sz w:val="20"/>
          <w:szCs w:val="20"/>
          <w:color w:val="auto"/>
        </w:rPr>
      </w:pPr>
      <w:r>
        <w:rPr>
          <w:rFonts w:ascii="MS PGothic" w:cs="MS PGothic" w:eastAsia="MS PGothic" w:hAnsi="MS PGothic"/>
          <w:sz w:val="32"/>
          <w:szCs w:val="32"/>
          <w:color w:val="auto"/>
        </w:rPr>
        <w:t>②</w:t>
      </w:r>
      <w:r>
        <w:rPr>
          <w:rFonts w:ascii="宋体" w:cs="宋体" w:eastAsia="宋体" w:hAnsi="宋体"/>
          <w:sz w:val="32"/>
          <w:szCs w:val="32"/>
          <w:color w:val="auto"/>
        </w:rPr>
        <w:t>营运资金增加额计算</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4</w:t>
      </w:r>
      <w:r>
        <w:rPr>
          <w:rFonts w:ascii="宋体" w:cs="宋体" w:eastAsia="宋体" w:hAnsi="宋体"/>
          <w:sz w:val="32"/>
          <w:szCs w:val="32"/>
          <w:color w:val="auto"/>
        </w:rPr>
        <w:t>）折现率的确定</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）所选折现率的模型（公式与参数定义）。</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）模型中有关参数的选取过程。</w:t>
      </w:r>
    </w:p>
    <w:p>
      <w:pPr>
        <w:spacing w:after="0" w:line="293" w:lineRule="exact"/>
        <w:rPr>
          <w:sz w:val="20"/>
          <w:szCs w:val="20"/>
          <w:color w:val="auto"/>
        </w:rPr>
      </w:pPr>
    </w:p>
    <w:p>
      <w:pPr>
        <w:ind w:left="900"/>
        <w:spacing w:after="0" w:line="331" w:lineRule="exact"/>
        <w:rPr>
          <w:sz w:val="20"/>
          <w:szCs w:val="20"/>
          <w:color w:val="auto"/>
        </w:rPr>
      </w:pPr>
      <w:r>
        <w:rPr>
          <w:rFonts w:ascii="宋体" w:cs="宋体" w:eastAsia="宋体" w:hAnsi="宋体"/>
          <w:sz w:val="29"/>
          <w:szCs w:val="29"/>
          <w:color w:val="auto"/>
        </w:rPr>
        <w:t>例如：无风险报酬率（依据、过程、结论）、市场收益率（依</w:t>
      </w:r>
    </w:p>
    <w:p>
      <w:pPr>
        <w:spacing w:after="0" w:line="236" w:lineRule="exact"/>
        <w:rPr>
          <w:sz w:val="20"/>
          <w:szCs w:val="20"/>
          <w:color w:val="auto"/>
        </w:rPr>
      </w:pPr>
    </w:p>
    <w:p>
      <w:pPr>
        <w:ind w:left="260"/>
        <w:spacing w:after="0" w:line="388" w:lineRule="exact"/>
        <w:rPr>
          <w:sz w:val="20"/>
          <w:szCs w:val="20"/>
          <w:color w:val="auto"/>
        </w:rPr>
      </w:pPr>
      <w:r>
        <w:rPr>
          <w:rFonts w:ascii="宋体" w:cs="宋体" w:eastAsia="宋体" w:hAnsi="宋体"/>
          <w:sz w:val="32"/>
          <w:szCs w:val="32"/>
          <w:color w:val="auto"/>
        </w:rPr>
        <w:t>据、参数、过程、结论）、</w:t>
      </w:r>
      <w:r>
        <w:rPr>
          <w:rFonts w:ascii="Arial" w:cs="Arial" w:eastAsia="Arial" w:hAnsi="Arial"/>
          <w:sz w:val="32"/>
          <w:szCs w:val="32"/>
          <w:color w:val="auto"/>
        </w:rPr>
        <w:t>Beta</w:t>
      </w:r>
      <w:r>
        <w:rPr>
          <w:rFonts w:ascii="宋体" w:cs="宋体" w:eastAsia="宋体" w:hAnsi="宋体"/>
          <w:sz w:val="32"/>
          <w:szCs w:val="32"/>
          <w:color w:val="auto"/>
        </w:rPr>
        <w:t>（贝塔）系数的测算。</w:t>
      </w:r>
    </w:p>
    <w:p>
      <w:pPr>
        <w:sectPr>
          <w:pgSz w:w="11900" w:h="16838" w:orient="portrait"/>
          <w:cols w:equalWidth="0" w:num="1">
            <w:col w:w="9026"/>
          </w:cols>
          <w:pgMar w:left="1440" w:top="1440" w:right="1440" w:bottom="998" w:gutter="0" w:footer="0" w:header="0"/>
        </w:sectPr>
      </w:pPr>
    </w:p>
    <w:bookmarkStart w:id="53" w:name="page54"/>
    <w:bookmarkEnd w:id="53"/>
    <w:p>
      <w:pPr>
        <w:spacing w:after="0" w:line="343"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．评估值测算过程与结论</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）列表说明公式中的各参数值以及测算过程。</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）终值的估算。</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）列示评估结论。</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7</w:t>
      </w:r>
      <w:r>
        <w:rPr>
          <w:rFonts w:ascii="宋体" w:cs="宋体" w:eastAsia="宋体" w:hAnsi="宋体"/>
          <w:sz w:val="31"/>
          <w:szCs w:val="31"/>
          <w:color w:val="auto"/>
        </w:rPr>
        <w:t>．其他资产和负债的评估（非收益性</w:t>
      </w:r>
      <w:r>
        <w:rPr>
          <w:rFonts w:ascii="Arial" w:cs="Arial" w:eastAsia="Arial" w:hAnsi="Arial"/>
          <w:sz w:val="31"/>
          <w:szCs w:val="31"/>
          <w:color w:val="auto"/>
        </w:rPr>
        <w:t>/</w:t>
      </w:r>
      <w:r>
        <w:rPr>
          <w:rFonts w:ascii="宋体" w:cs="宋体" w:eastAsia="宋体" w:hAnsi="宋体"/>
          <w:sz w:val="31"/>
          <w:szCs w:val="31"/>
          <w:color w:val="auto"/>
        </w:rPr>
        <w:t>经营性资产和负债）</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价值</w:t>
      </w:r>
    </w:p>
    <w:p>
      <w:pPr>
        <w:spacing w:after="0" w:line="237"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）评估的资产和负债类型。</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）评估方法。</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）评估结论。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8</w:t>
      </w:r>
      <w:r>
        <w:rPr>
          <w:rFonts w:ascii="宋体" w:cs="宋体" w:eastAsia="宋体" w:hAnsi="宋体"/>
          <w:sz w:val="32"/>
          <w:szCs w:val="32"/>
          <w:color w:val="auto"/>
        </w:rPr>
        <w:t>．评估结论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9</w:t>
      </w:r>
      <w:r>
        <w:rPr>
          <w:rFonts w:ascii="宋体" w:cs="宋体" w:eastAsia="宋体" w:hAnsi="宋体"/>
          <w:sz w:val="32"/>
          <w:szCs w:val="32"/>
          <w:color w:val="auto"/>
        </w:rPr>
        <w:t>．测算表格</w:t>
      </w:r>
    </w:p>
    <w:p>
      <w:pPr>
        <w:spacing w:after="0" w:line="270" w:lineRule="exact"/>
        <w:rPr>
          <w:sz w:val="20"/>
          <w:szCs w:val="20"/>
          <w:color w:val="auto"/>
        </w:rPr>
      </w:pPr>
    </w:p>
    <w:p>
      <w:pPr>
        <w:ind w:left="900"/>
        <w:spacing w:after="0" w:line="354" w:lineRule="exact"/>
        <w:rPr>
          <w:sz w:val="20"/>
          <w:szCs w:val="20"/>
          <w:color w:val="auto"/>
        </w:rPr>
      </w:pPr>
      <w:r>
        <w:rPr>
          <w:rFonts w:ascii="宋体" w:cs="宋体" w:eastAsia="宋体" w:hAnsi="宋体"/>
          <w:sz w:val="31"/>
          <w:szCs w:val="31"/>
          <w:color w:val="auto"/>
        </w:rPr>
        <w:t>采用收益法进行企业价值评估，应当编制必要的测算表格。</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测算表格中的数据应当与资产评估报告相应内容一致。</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（三）市场法</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采用市场法进行企业价值评估，可以根据所采用的具体评</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估方法（上市公司比较法或者交易案例比较法）确定评估技术</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说明的编写内容。一般编写内容指引如下：</w:t>
      </w:r>
    </w:p>
    <w:p>
      <w:pPr>
        <w:spacing w:after="0" w:line="307" w:lineRule="exact"/>
        <w:rPr>
          <w:sz w:val="20"/>
          <w:szCs w:val="20"/>
          <w:color w:val="auto"/>
        </w:rPr>
      </w:pPr>
    </w:p>
    <w:p>
      <w:pPr>
        <w:ind w:left="260" w:right="160" w:firstLine="643"/>
        <w:spacing w:after="0" w:line="471" w:lineRule="exact"/>
        <w:tabs>
          <w:tab w:leader="none" w:pos="1381" w:val="left"/>
        </w:tabs>
        <w:numPr>
          <w:ilvl w:val="0"/>
          <w:numId w:val="14"/>
        </w:numPr>
        <w:rPr>
          <w:rFonts w:ascii="Arial" w:cs="Arial" w:eastAsia="Arial" w:hAnsi="Arial"/>
          <w:sz w:val="32"/>
          <w:szCs w:val="32"/>
          <w:color w:val="auto"/>
        </w:rPr>
      </w:pPr>
      <w:r>
        <w:rPr>
          <w:rFonts w:ascii="宋体" w:cs="宋体" w:eastAsia="宋体" w:hAnsi="宋体"/>
          <w:sz w:val="32"/>
          <w:szCs w:val="32"/>
          <w:color w:val="auto"/>
        </w:rPr>
        <w:t>说明评估对象，包括企业整体价值、股东全部权益、股东部分权益。</w:t>
      </w:r>
    </w:p>
    <w:p>
      <w:pPr>
        <w:spacing w:after="0" w:line="236" w:lineRule="exact"/>
        <w:rPr>
          <w:rFonts w:ascii="Arial" w:cs="Arial" w:eastAsia="Arial" w:hAnsi="Arial"/>
          <w:sz w:val="32"/>
          <w:szCs w:val="32"/>
          <w:color w:val="auto"/>
        </w:rPr>
      </w:pPr>
    </w:p>
    <w:p>
      <w:pPr>
        <w:ind w:left="1380" w:hanging="477"/>
        <w:spacing w:after="0" w:line="388" w:lineRule="exact"/>
        <w:tabs>
          <w:tab w:leader="none" w:pos="1380" w:val="left"/>
        </w:tabs>
        <w:numPr>
          <w:ilvl w:val="0"/>
          <w:numId w:val="14"/>
        </w:numPr>
        <w:rPr>
          <w:rFonts w:ascii="Arial" w:cs="Arial" w:eastAsia="Arial" w:hAnsi="Arial"/>
          <w:sz w:val="32"/>
          <w:szCs w:val="32"/>
          <w:color w:val="auto"/>
        </w:rPr>
      </w:pPr>
      <w:r>
        <w:rPr>
          <w:rFonts w:ascii="宋体" w:cs="宋体" w:eastAsia="宋体" w:hAnsi="宋体"/>
          <w:sz w:val="32"/>
          <w:szCs w:val="32"/>
          <w:color w:val="auto"/>
        </w:rPr>
        <w:t>市场法原理</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）交易案例比较法的定义、原理、应用前提。</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2</w:t>
      </w:r>
      <w:r>
        <w:rPr>
          <w:rFonts w:ascii="宋体" w:cs="宋体" w:eastAsia="宋体" w:hAnsi="宋体"/>
          <w:sz w:val="32"/>
          <w:szCs w:val="32"/>
          <w:color w:val="auto"/>
        </w:rPr>
        <w:t>）上市公司比较法的定义、原理、应用前提。</w:t>
      </w:r>
    </w:p>
    <w:p>
      <w:pPr>
        <w:sectPr>
          <w:pgSz w:w="11900" w:h="16838" w:orient="portrait"/>
          <w:cols w:equalWidth="0" w:num="1">
            <w:col w:w="9060"/>
          </w:cols>
          <w:pgMar w:left="1440" w:top="1440" w:right="1406" w:bottom="998" w:gutter="0" w:footer="0" w:header="0"/>
        </w:sectPr>
      </w:pPr>
    </w:p>
    <w:bookmarkStart w:id="54" w:name="page55"/>
    <w:bookmarkEnd w:id="54"/>
    <w:p>
      <w:pPr>
        <w:spacing w:after="0" w:line="343"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3.</w:t>
      </w:r>
      <w:r>
        <w:rPr>
          <w:rFonts w:ascii="宋体" w:cs="宋体" w:eastAsia="宋体" w:hAnsi="宋体"/>
          <w:sz w:val="32"/>
          <w:szCs w:val="32"/>
          <w:color w:val="auto"/>
        </w:rPr>
        <w:t>选取具体评估方法的理由</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．基本步骤说明</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1</w:t>
      </w:r>
      <w:r>
        <w:rPr>
          <w:rFonts w:ascii="宋体" w:cs="宋体" w:eastAsia="宋体" w:hAnsi="宋体"/>
          <w:sz w:val="32"/>
          <w:szCs w:val="32"/>
          <w:color w:val="auto"/>
        </w:rPr>
        <w:t>）搜集相关资料、对评估对象基本情况进行阐述。</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2</w:t>
      </w:r>
      <w:r>
        <w:rPr>
          <w:rFonts w:ascii="宋体" w:cs="宋体" w:eastAsia="宋体" w:hAnsi="宋体"/>
          <w:sz w:val="31"/>
          <w:szCs w:val="31"/>
          <w:color w:val="auto"/>
        </w:rPr>
        <w:t>）对影响被评估单位经营的宏观、区域经济因素分析。</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3</w:t>
      </w:r>
      <w:r>
        <w:rPr>
          <w:rFonts w:ascii="宋体" w:cs="宋体" w:eastAsia="宋体" w:hAnsi="宋体"/>
          <w:sz w:val="32"/>
          <w:szCs w:val="32"/>
          <w:color w:val="auto"/>
        </w:rPr>
        <w:t>）对被评估单位所在行业发展状况与前景进行分析。</w:t>
      </w:r>
    </w:p>
    <w:p>
      <w:pPr>
        <w:spacing w:after="0" w:line="248" w:lineRule="exact"/>
        <w:rPr>
          <w:sz w:val="20"/>
          <w:szCs w:val="20"/>
          <w:color w:val="auto"/>
        </w:rPr>
      </w:pPr>
    </w:p>
    <w:p>
      <w:pPr>
        <w:ind w:left="900"/>
        <w:spacing w:after="0" w:line="376" w:lineRule="exact"/>
        <w:rPr>
          <w:sz w:val="20"/>
          <w:szCs w:val="20"/>
          <w:color w:val="auto"/>
        </w:rPr>
      </w:pPr>
      <w:r>
        <w:rPr>
          <w:rFonts w:ascii="宋体" w:cs="宋体" w:eastAsia="宋体" w:hAnsi="宋体"/>
          <w:sz w:val="31"/>
          <w:szCs w:val="31"/>
          <w:color w:val="auto"/>
        </w:rPr>
        <w:t>（</w:t>
      </w:r>
      <w:r>
        <w:rPr>
          <w:rFonts w:ascii="Arial" w:cs="Arial" w:eastAsia="Arial" w:hAnsi="Arial"/>
          <w:sz w:val="31"/>
          <w:szCs w:val="31"/>
          <w:color w:val="auto"/>
        </w:rPr>
        <w:t>4</w:t>
      </w:r>
      <w:r>
        <w:rPr>
          <w:rFonts w:ascii="宋体" w:cs="宋体" w:eastAsia="宋体" w:hAnsi="宋体"/>
          <w:sz w:val="31"/>
          <w:szCs w:val="31"/>
          <w:color w:val="auto"/>
        </w:rPr>
        <w:t>）对被评估单位提供的企业业务状况进行分析，对企业</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资产、财务状况进行分析、调整。</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5</w:t>
      </w:r>
      <w:r>
        <w:rPr>
          <w:rFonts w:ascii="宋体" w:cs="宋体" w:eastAsia="宋体" w:hAnsi="宋体"/>
          <w:sz w:val="32"/>
          <w:szCs w:val="32"/>
          <w:color w:val="auto"/>
        </w:rPr>
        <w:t>）分析、确定可比上市公司或者交易案例。</w:t>
      </w:r>
    </w:p>
    <w:p>
      <w:pPr>
        <w:spacing w:after="0" w:line="260" w:lineRule="exact"/>
        <w:rPr>
          <w:sz w:val="20"/>
          <w:szCs w:val="20"/>
          <w:color w:val="auto"/>
        </w:rPr>
      </w:pPr>
    </w:p>
    <w:p>
      <w:pPr>
        <w:ind w:left="900"/>
        <w:spacing w:after="0" w:line="364" w:lineRule="exact"/>
        <w:rPr>
          <w:sz w:val="20"/>
          <w:szCs w:val="20"/>
          <w:color w:val="auto"/>
        </w:rPr>
      </w:pPr>
      <w:r>
        <w:rPr>
          <w:rFonts w:ascii="宋体" w:cs="宋体" w:eastAsia="宋体" w:hAnsi="宋体"/>
          <w:sz w:val="30"/>
          <w:szCs w:val="30"/>
          <w:color w:val="auto"/>
        </w:rPr>
        <w:t>（</w:t>
      </w:r>
      <w:r>
        <w:rPr>
          <w:rFonts w:ascii="Arial" w:cs="Arial" w:eastAsia="Arial" w:hAnsi="Arial"/>
          <w:sz w:val="30"/>
          <w:szCs w:val="30"/>
          <w:color w:val="auto"/>
        </w:rPr>
        <w:t>6</w:t>
      </w:r>
      <w:r>
        <w:rPr>
          <w:rFonts w:ascii="宋体" w:cs="宋体" w:eastAsia="宋体" w:hAnsi="宋体"/>
          <w:sz w:val="30"/>
          <w:szCs w:val="30"/>
          <w:color w:val="auto"/>
        </w:rPr>
        <w:t>）对上市公司或者交易案例的可比因素进行分析、调整，</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确定可比因素数值。</w:t>
      </w:r>
    </w:p>
    <w:p>
      <w:pPr>
        <w:spacing w:after="0" w:line="236" w:lineRule="exact"/>
        <w:rPr>
          <w:sz w:val="20"/>
          <w:szCs w:val="20"/>
          <w:color w:val="auto"/>
        </w:rPr>
      </w:pPr>
    </w:p>
    <w:p>
      <w:pPr>
        <w:ind w:left="900"/>
        <w:spacing w:after="0" w:line="388" w:lineRule="exact"/>
        <w:rPr>
          <w:sz w:val="20"/>
          <w:szCs w:val="20"/>
          <w:color w:val="auto"/>
        </w:rPr>
      </w:pPr>
      <w:r>
        <w:rPr>
          <w:rFonts w:ascii="宋体" w:cs="宋体" w:eastAsia="宋体" w:hAnsi="宋体"/>
          <w:sz w:val="32"/>
          <w:szCs w:val="32"/>
          <w:color w:val="auto"/>
        </w:rPr>
        <w:t>（</w:t>
      </w:r>
      <w:r>
        <w:rPr>
          <w:rFonts w:ascii="Arial" w:cs="Arial" w:eastAsia="Arial" w:hAnsi="Arial"/>
          <w:sz w:val="32"/>
          <w:szCs w:val="32"/>
          <w:color w:val="auto"/>
        </w:rPr>
        <w:t>7</w:t>
      </w:r>
      <w:r>
        <w:rPr>
          <w:rFonts w:ascii="宋体" w:cs="宋体" w:eastAsia="宋体" w:hAnsi="宋体"/>
          <w:sz w:val="32"/>
          <w:szCs w:val="32"/>
          <w:color w:val="auto"/>
        </w:rPr>
        <w:t>）估算评估对象价值。</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5</w:t>
      </w:r>
      <w:r>
        <w:rPr>
          <w:rFonts w:ascii="宋体" w:cs="宋体" w:eastAsia="宋体" w:hAnsi="宋体"/>
          <w:sz w:val="32"/>
          <w:szCs w:val="32"/>
          <w:color w:val="auto"/>
        </w:rPr>
        <w:t>．影响被评估单位经营的宏观、区域经济因素分析。</w:t>
      </w:r>
    </w:p>
    <w:p>
      <w:pPr>
        <w:spacing w:after="0" w:line="237"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6</w:t>
      </w:r>
      <w:r>
        <w:rPr>
          <w:rFonts w:ascii="宋体" w:cs="宋体" w:eastAsia="宋体" w:hAnsi="宋体"/>
          <w:sz w:val="32"/>
          <w:szCs w:val="32"/>
          <w:color w:val="auto"/>
        </w:rPr>
        <w:t>．被评估单位所在行业发展状况与前景的分析判断。</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7</w:t>
      </w:r>
      <w:r>
        <w:rPr>
          <w:rFonts w:ascii="宋体" w:cs="宋体" w:eastAsia="宋体" w:hAnsi="宋体"/>
          <w:sz w:val="32"/>
          <w:szCs w:val="32"/>
          <w:color w:val="auto"/>
        </w:rPr>
        <w:t>．被评估单位的业务、资产、财务状况分析。</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8</w:t>
      </w:r>
      <w:r>
        <w:rPr>
          <w:rFonts w:ascii="宋体" w:cs="宋体" w:eastAsia="宋体" w:hAnsi="宋体"/>
          <w:sz w:val="31"/>
          <w:szCs w:val="31"/>
          <w:color w:val="auto"/>
        </w:rPr>
        <w:t>．上市公司或者交易案例的选择及与评估对象的可比性分</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析。</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9</w:t>
      </w:r>
      <w:r>
        <w:rPr>
          <w:rFonts w:ascii="宋体" w:cs="宋体" w:eastAsia="宋体" w:hAnsi="宋体"/>
          <w:sz w:val="31"/>
          <w:szCs w:val="31"/>
          <w:color w:val="auto"/>
        </w:rPr>
        <w:t>．确定可比因素的方法和过程（特别说明对可比因素分析</w:t>
      </w:r>
    </w:p>
    <w:p>
      <w:pPr>
        <w:spacing w:after="0" w:line="270" w:lineRule="exact"/>
        <w:rPr>
          <w:sz w:val="20"/>
          <w:szCs w:val="20"/>
          <w:color w:val="auto"/>
        </w:rPr>
      </w:pPr>
    </w:p>
    <w:p>
      <w:pPr>
        <w:ind w:left="260"/>
        <w:spacing w:after="0" w:line="354" w:lineRule="exact"/>
        <w:rPr>
          <w:sz w:val="20"/>
          <w:szCs w:val="20"/>
          <w:color w:val="auto"/>
        </w:rPr>
      </w:pPr>
      <w:r>
        <w:rPr>
          <w:rFonts w:ascii="宋体" w:cs="宋体" w:eastAsia="宋体" w:hAnsi="宋体"/>
          <w:sz w:val="31"/>
          <w:szCs w:val="31"/>
          <w:color w:val="auto"/>
        </w:rPr>
        <w:t>时考虑的主要方面），价值比率的确定过程，分析、调整评估对</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象财务状况的内容。</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10</w:t>
      </w:r>
      <w:r>
        <w:rPr>
          <w:rFonts w:ascii="宋体" w:cs="宋体" w:eastAsia="宋体" w:hAnsi="宋体"/>
          <w:sz w:val="32"/>
          <w:szCs w:val="32"/>
          <w:color w:val="auto"/>
        </w:rPr>
        <w:t>．评估值确定的方法、过程和结论。</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11</w:t>
      </w:r>
      <w:r>
        <w:rPr>
          <w:rFonts w:ascii="宋体" w:cs="宋体" w:eastAsia="宋体" w:hAnsi="宋体"/>
          <w:sz w:val="32"/>
          <w:szCs w:val="32"/>
          <w:color w:val="auto"/>
        </w:rPr>
        <w:t>．评估结论及分析。</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四、评估结论及分析</w:t>
      </w:r>
    </w:p>
    <w:p>
      <w:pPr>
        <w:sectPr>
          <w:pgSz w:w="11900" w:h="16838" w:orient="portrait"/>
          <w:cols w:equalWidth="0" w:num="1">
            <w:col w:w="9060"/>
          </w:cols>
          <w:pgMar w:left="1440" w:top="1440" w:right="1406" w:bottom="998" w:gutter="0" w:footer="0" w:header="0"/>
        </w:sectPr>
      </w:pPr>
    </w:p>
    <w:bookmarkStart w:id="55" w:name="page56"/>
    <w:bookmarkEnd w:id="55"/>
    <w:p>
      <w:pPr>
        <w:spacing w:after="0" w:line="366"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（一）评估结论</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．用文字叙述账面价值和评估价值，采用两种或者两种以</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上方法进行企业价值评估，应当分别说明评估价值，以及不同</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评估方法结论的差异及其原因和最终确定评估结论的理由。</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．含有</w:t>
      </w:r>
      <w:r>
        <w:rPr>
          <w:rFonts w:ascii="Arial" w:cs="Arial" w:eastAsia="Arial" w:hAnsi="Arial"/>
          <w:sz w:val="32"/>
          <w:szCs w:val="32"/>
          <w:color w:val="auto"/>
        </w:rPr>
        <w:t>“</w:t>
      </w:r>
      <w:r>
        <w:rPr>
          <w:rFonts w:ascii="宋体" w:cs="宋体" w:eastAsia="宋体" w:hAnsi="宋体"/>
          <w:sz w:val="32"/>
          <w:szCs w:val="32"/>
          <w:color w:val="auto"/>
        </w:rPr>
        <w:t>评估结论根据以上评估工作得出</w:t>
      </w:r>
      <w:r>
        <w:rPr>
          <w:rFonts w:ascii="Arial" w:cs="Arial" w:eastAsia="Arial" w:hAnsi="Arial"/>
          <w:sz w:val="32"/>
          <w:szCs w:val="32"/>
          <w:color w:val="auto"/>
        </w:rPr>
        <w:t>”</w:t>
      </w:r>
      <w:r>
        <w:rPr>
          <w:rFonts w:ascii="宋体" w:cs="宋体" w:eastAsia="宋体" w:hAnsi="宋体"/>
          <w:sz w:val="32"/>
          <w:szCs w:val="32"/>
          <w:color w:val="auto"/>
        </w:rPr>
        <w:t>的字样。</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3</w:t>
      </w:r>
      <w:r>
        <w:rPr>
          <w:rFonts w:ascii="宋体" w:cs="宋体" w:eastAsia="宋体" w:hAnsi="宋体"/>
          <w:sz w:val="31"/>
          <w:szCs w:val="31"/>
          <w:color w:val="auto"/>
        </w:rPr>
        <w:t>．对于存在多家被评估单位的情况，应当分别说明评估价</w:t>
      </w:r>
    </w:p>
    <w:p>
      <w:pPr>
        <w:spacing w:after="0" w:line="260"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值。</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4</w:t>
      </w:r>
      <w:r>
        <w:rPr>
          <w:rFonts w:ascii="宋体" w:cs="宋体" w:eastAsia="宋体" w:hAnsi="宋体"/>
          <w:sz w:val="32"/>
          <w:szCs w:val="32"/>
          <w:color w:val="auto"/>
        </w:rPr>
        <w:t>．对于不纳入评估汇总表的评估结果，应当单独列示。</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（二）评估价值与账面价值比较变动情况及说明</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1</w:t>
      </w:r>
      <w:r>
        <w:rPr>
          <w:rFonts w:ascii="宋体" w:cs="宋体" w:eastAsia="宋体" w:hAnsi="宋体"/>
          <w:sz w:val="31"/>
          <w:szCs w:val="31"/>
          <w:color w:val="auto"/>
        </w:rPr>
        <w:t>．说明评估价值与账面价值比较变动情况，包括绝对变动</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额和相对变动率。</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2</w:t>
      </w:r>
      <w:r>
        <w:rPr>
          <w:rFonts w:ascii="宋体" w:cs="宋体" w:eastAsia="宋体" w:hAnsi="宋体"/>
          <w:sz w:val="32"/>
          <w:szCs w:val="32"/>
          <w:color w:val="auto"/>
        </w:rPr>
        <w:t>．分析评估价值与账面价值比较变动原因。</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（三）折价或者溢价情况（如有）</w:t>
      </w:r>
    </w:p>
    <w:p>
      <w:pPr>
        <w:spacing w:after="0" w:line="259" w:lineRule="exact"/>
        <w:rPr>
          <w:sz w:val="20"/>
          <w:szCs w:val="20"/>
          <w:color w:val="auto"/>
        </w:rPr>
      </w:pPr>
    </w:p>
    <w:p>
      <w:pPr>
        <w:ind w:left="900"/>
        <w:spacing w:after="0" w:line="366" w:lineRule="exact"/>
        <w:rPr>
          <w:sz w:val="20"/>
          <w:szCs w:val="20"/>
          <w:color w:val="auto"/>
        </w:rPr>
      </w:pPr>
      <w:r>
        <w:rPr>
          <w:rFonts w:ascii="宋体" w:cs="宋体" w:eastAsia="宋体" w:hAnsi="宋体"/>
          <w:sz w:val="32"/>
          <w:szCs w:val="32"/>
          <w:color w:val="auto"/>
        </w:rPr>
        <w:t>企业价值评估，在适当及切实可行的情况下需要考虑由于</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控股权和少数股权等因素产生的折价或者溢价，以及流动性对</w:t>
      </w:r>
    </w:p>
    <w:p>
      <w:pPr>
        <w:spacing w:after="0" w:line="259" w:lineRule="exact"/>
        <w:rPr>
          <w:sz w:val="20"/>
          <w:szCs w:val="20"/>
          <w:color w:val="auto"/>
        </w:rPr>
      </w:pPr>
    </w:p>
    <w:p>
      <w:pPr>
        <w:ind w:left="260"/>
        <w:spacing w:after="0" w:line="366" w:lineRule="exact"/>
        <w:rPr>
          <w:sz w:val="20"/>
          <w:szCs w:val="20"/>
          <w:color w:val="auto"/>
        </w:rPr>
      </w:pPr>
      <w:r>
        <w:rPr>
          <w:rFonts w:ascii="宋体" w:cs="宋体" w:eastAsia="宋体" w:hAnsi="宋体"/>
          <w:sz w:val="32"/>
          <w:szCs w:val="32"/>
          <w:color w:val="auto"/>
        </w:rPr>
        <w:t>评估价值的影响，包括但不限于：</w:t>
      </w:r>
    </w:p>
    <w:p>
      <w:pPr>
        <w:spacing w:after="0" w:line="236" w:lineRule="exact"/>
        <w:rPr>
          <w:sz w:val="20"/>
          <w:szCs w:val="20"/>
          <w:color w:val="auto"/>
        </w:rPr>
      </w:pPr>
    </w:p>
    <w:p>
      <w:pPr>
        <w:ind w:left="900"/>
        <w:spacing w:after="0" w:line="388" w:lineRule="exact"/>
        <w:rPr>
          <w:sz w:val="20"/>
          <w:szCs w:val="20"/>
          <w:color w:val="auto"/>
        </w:rPr>
      </w:pPr>
      <w:r>
        <w:rPr>
          <w:rFonts w:ascii="Arial" w:cs="Arial" w:eastAsia="Arial" w:hAnsi="Arial"/>
          <w:sz w:val="32"/>
          <w:szCs w:val="32"/>
          <w:color w:val="auto"/>
        </w:rPr>
        <w:t>1</w:t>
      </w:r>
      <w:r>
        <w:rPr>
          <w:rFonts w:ascii="宋体" w:cs="宋体" w:eastAsia="宋体" w:hAnsi="宋体"/>
          <w:sz w:val="32"/>
          <w:szCs w:val="32"/>
          <w:color w:val="auto"/>
        </w:rPr>
        <w:t>．说明是否考虑了折价或者溢价。</w:t>
      </w:r>
    </w:p>
    <w:p>
      <w:pPr>
        <w:spacing w:after="0" w:line="248" w:lineRule="exact"/>
        <w:rPr>
          <w:sz w:val="20"/>
          <w:szCs w:val="20"/>
          <w:color w:val="auto"/>
        </w:rPr>
      </w:pPr>
    </w:p>
    <w:p>
      <w:pPr>
        <w:ind w:left="900"/>
        <w:spacing w:after="0" w:line="376" w:lineRule="exact"/>
        <w:rPr>
          <w:sz w:val="20"/>
          <w:szCs w:val="20"/>
          <w:color w:val="auto"/>
        </w:rPr>
      </w:pPr>
      <w:r>
        <w:rPr>
          <w:rFonts w:ascii="Arial" w:cs="Arial" w:eastAsia="Arial" w:hAnsi="Arial"/>
          <w:sz w:val="31"/>
          <w:szCs w:val="31"/>
          <w:color w:val="auto"/>
        </w:rPr>
        <w:t>2</w:t>
      </w:r>
      <w:r>
        <w:rPr>
          <w:rFonts w:ascii="宋体" w:cs="宋体" w:eastAsia="宋体" w:hAnsi="宋体"/>
          <w:sz w:val="31"/>
          <w:szCs w:val="31"/>
          <w:color w:val="auto"/>
        </w:rPr>
        <w:t>．说明折价或者溢价测算的方法，对其合理性做出判断。</w:t>
      </w:r>
    </w:p>
    <w:sectPr>
      <w:pgSz w:w="11900" w:h="16838" w:orient="portrait"/>
      <w:cols w:equalWidth="0" w:num="1">
        <w:col w:w="9060"/>
      </w:cols>
      <w:pgMar w:left="1440" w:top="1440" w:right="1406"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swiss"/>
    <w:pitch w:val="variable"/>
    <w:sig w:usb0="E0002EFF" w:usb1="C0007843" w:usb2="00000009" w:usb3="00000000" w:csb0="400001FF" w:csb1="FFFF0000"/>
  </w:font>
  <w:font w:name="黑体">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7E87"/>
    <w:multiLevelType w:val="hybridMultilevel"/>
    <w:lvl w:ilvl="0">
      <w:lvlJc w:val="left"/>
      <w:lvlText w:val="%1."/>
      <w:numFmt w:val="decimal"/>
      <w:start w:val="1"/>
    </w:lvl>
  </w:abstractNum>
  <w:abstractNum w:abstractNumId="1">
    <w:nsid w:val="390C"/>
    <w:multiLevelType w:val="hybridMultilevel"/>
    <w:lvl w:ilvl="0">
      <w:lvlJc w:val="left"/>
      <w:lvlText w:val="%1)"/>
      <w:numFmt w:val="decimal"/>
      <w:start w:val="1"/>
    </w:lvl>
  </w:abstractNum>
  <w:abstractNum w:abstractNumId="2">
    <w:nsid w:val="F3E"/>
    <w:multiLevelType w:val="hybridMultilevel"/>
    <w:lvl w:ilvl="0">
      <w:lvlJc w:val="left"/>
      <w:lvlText w:val="%1)"/>
      <w:numFmt w:val="decimal"/>
      <w:start w:val="5"/>
    </w:lvl>
  </w:abstractNum>
  <w:abstractNum w:abstractNumId="3">
    <w:nsid w:val="99"/>
    <w:multiLevelType w:val="hybridMultilevel"/>
    <w:lvl w:ilvl="0">
      <w:lvlJc w:val="left"/>
      <w:lvlText w:val="%1)"/>
      <w:numFmt w:val="decimal"/>
      <w:start w:val="1"/>
    </w:lvl>
  </w:abstractNum>
  <w:abstractNum w:abstractNumId="4">
    <w:nsid w:val="124"/>
    <w:multiLevelType w:val="hybridMultilevel"/>
    <w:lvl w:ilvl="0">
      <w:lvlJc w:val="left"/>
      <w:lvlText w:val="%1)"/>
      <w:numFmt w:val="decimal"/>
      <w:start w:val="2"/>
    </w:lvl>
  </w:abstractNum>
  <w:abstractNum w:abstractNumId="5">
    <w:nsid w:val="305E"/>
    <w:multiLevelType w:val="hybridMultilevel"/>
    <w:lvl w:ilvl="0">
      <w:lvlJc w:val="left"/>
      <w:lvlText w:val="%1)"/>
      <w:numFmt w:val="decimal"/>
      <w:start w:val="9"/>
    </w:lvl>
  </w:abstractNum>
  <w:abstractNum w:abstractNumId="6">
    <w:nsid w:val="440D"/>
    <w:multiLevelType w:val="hybridMultilevel"/>
    <w:lvl w:ilvl="0">
      <w:lvlJc w:val="left"/>
      <w:lvlText w:val="%1)"/>
      <w:numFmt w:val="decimal"/>
      <w:start w:val="1"/>
    </w:lvl>
  </w:abstractNum>
  <w:abstractNum w:abstractNumId="7">
    <w:nsid w:val="491C"/>
    <w:multiLevelType w:val="hybridMultilevel"/>
    <w:lvl w:ilvl="0">
      <w:lvlJc w:val="left"/>
      <w:lvlText w:val="%1)"/>
      <w:numFmt w:val="decimal"/>
      <w:start w:val="4"/>
    </w:lvl>
  </w:abstractNum>
  <w:abstractNum w:abstractNumId="8">
    <w:nsid w:val="4D06"/>
    <w:multiLevelType w:val="hybridMultilevel"/>
    <w:lvl w:ilvl="0">
      <w:lvlJc w:val="left"/>
      <w:lvlText w:val="%1)"/>
      <w:numFmt w:val="decimal"/>
      <w:start w:val="10"/>
    </w:lvl>
  </w:abstractNum>
  <w:abstractNum w:abstractNumId="9">
    <w:nsid w:val="4DB7"/>
    <w:multiLevelType w:val="hybridMultilevel"/>
    <w:lvl w:ilvl="0">
      <w:lvlJc w:val="left"/>
      <w:lvlText w:val="%1)"/>
      <w:numFmt w:val="decimal"/>
      <w:start w:val="1"/>
    </w:lvl>
  </w:abstractNum>
  <w:abstractNum w:abstractNumId="10">
    <w:nsid w:val="1547"/>
    <w:multiLevelType w:val="hybridMultilevel"/>
    <w:lvl w:ilvl="0">
      <w:lvlJc w:val="left"/>
      <w:lvlText w:val="%1)"/>
      <w:numFmt w:val="decimal"/>
      <w:start w:val="5"/>
    </w:lvl>
  </w:abstractNum>
  <w:abstractNum w:abstractNumId="11">
    <w:nsid w:val="54DE"/>
    <w:multiLevelType w:val="hybridMultilevel"/>
    <w:lvl w:ilvl="0">
      <w:lvlJc w:val="left"/>
      <w:lvlText w:val="%1)"/>
      <w:numFmt w:val="decimal"/>
      <w:start w:val="1"/>
    </w:lvl>
  </w:abstractNum>
  <w:abstractNum w:abstractNumId="12">
    <w:nsid w:val="39B3"/>
    <w:multiLevelType w:val="hybridMultilevel"/>
    <w:lvl w:ilvl="0">
      <w:lvlJc w:val="left"/>
      <w:lvlText w:val="%1)"/>
      <w:numFmt w:val="decimal"/>
      <w:start w:val="3"/>
    </w:lvl>
  </w:abstractNum>
  <w:abstractNum w:abstractNumId="13">
    <w:nsid w:val="2D12"/>
    <w:multiLevelType w:val="hybridMultilevel"/>
    <w:lvl w:ilvl="0">
      <w:lvlJc w:val="left"/>
      <w:lvlText w:val="%1."/>
      <w:numFmt w:val="decimal"/>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2017-09-14T08:49:20Z</dcterms:created>
  <dcterms:modified xsi:type="dcterms:W3CDTF">2017-09-14T08:49:20Z</dcterms:modified>
</cp:coreProperties>
</file>