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104"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附件</w:t>
      </w:r>
    </w:p>
    <w:p>
      <w:pPr>
        <w:spacing w:after="0" w:line="200" w:lineRule="exact"/>
        <w:rPr>
          <w:sz w:val="24"/>
          <w:szCs w:val="24"/>
          <w:color w:val="auto"/>
        </w:rPr>
      </w:pPr>
    </w:p>
    <w:p>
      <w:pPr>
        <w:spacing w:after="0" w:line="200" w:lineRule="exact"/>
        <w:rPr>
          <w:sz w:val="24"/>
          <w:szCs w:val="24"/>
          <w:color w:val="auto"/>
        </w:rPr>
      </w:pPr>
    </w:p>
    <w:p>
      <w:pPr>
        <w:spacing w:after="0" w:line="245" w:lineRule="exact"/>
        <w:rPr>
          <w:sz w:val="24"/>
          <w:szCs w:val="24"/>
          <w:color w:val="auto"/>
        </w:rPr>
      </w:pPr>
    </w:p>
    <w:p>
      <w:pPr>
        <w:jc w:val="center"/>
        <w:ind w:right="6"/>
        <w:spacing w:after="0" w:line="502" w:lineRule="exact"/>
        <w:rPr>
          <w:sz w:val="20"/>
          <w:szCs w:val="20"/>
          <w:color w:val="auto"/>
        </w:rPr>
      </w:pPr>
      <w:r>
        <w:rPr>
          <w:rFonts w:ascii="宋体" w:cs="宋体" w:eastAsia="宋体" w:hAnsi="宋体"/>
          <w:sz w:val="44"/>
          <w:szCs w:val="44"/>
          <w:b w:val="1"/>
          <w:bCs w:val="1"/>
          <w:color w:val="auto"/>
        </w:rPr>
        <w:t>资产评估对象法律权属指导意见</w:t>
      </w:r>
    </w:p>
    <w:p>
      <w:pPr>
        <w:spacing w:after="0" w:line="200" w:lineRule="exact"/>
        <w:rPr>
          <w:sz w:val="24"/>
          <w:szCs w:val="24"/>
          <w:color w:val="auto"/>
        </w:rPr>
      </w:pPr>
    </w:p>
    <w:p>
      <w:pPr>
        <w:spacing w:after="0" w:line="200" w:lineRule="exact"/>
        <w:rPr>
          <w:sz w:val="24"/>
          <w:szCs w:val="24"/>
          <w:color w:val="auto"/>
        </w:rPr>
      </w:pPr>
    </w:p>
    <w:p>
      <w:pPr>
        <w:spacing w:after="0" w:line="272"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第一条</w:t>
      </w:r>
      <w:r>
        <w:rPr>
          <w:sz w:val="20"/>
          <w:szCs w:val="20"/>
          <w:color w:val="auto"/>
        </w:rPr>
        <w:tab/>
      </w:r>
      <w:r>
        <w:rPr>
          <w:rFonts w:ascii="宋体" w:cs="宋体" w:eastAsia="宋体" w:hAnsi="宋体"/>
          <w:sz w:val="32"/>
          <w:szCs w:val="32"/>
          <w:color w:val="auto"/>
        </w:rPr>
        <w:t>为规范资产评估机构及其资产评估专业人员</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执业行为，保护资产评估当事人合法权益和公共利益，根据</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《资产评估基本准则》制定本指导意见。</w:t>
      </w:r>
    </w:p>
    <w:p>
      <w:pPr>
        <w:spacing w:after="0" w:line="260"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第二条</w:t>
      </w:r>
      <w:r>
        <w:rPr>
          <w:sz w:val="20"/>
          <w:szCs w:val="20"/>
          <w:color w:val="auto"/>
        </w:rPr>
        <w:tab/>
      </w:r>
      <w:r>
        <w:rPr>
          <w:rFonts w:ascii="宋体" w:cs="宋体" w:eastAsia="宋体" w:hAnsi="宋体"/>
          <w:sz w:val="32"/>
          <w:szCs w:val="32"/>
          <w:color w:val="auto"/>
        </w:rPr>
        <w:t>本指导意见所称资产评估对象法律权属，是指</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资产评估对象的所有权和与所有权有关的其他财产权利。</w:t>
      </w:r>
    </w:p>
    <w:p>
      <w:pPr>
        <w:spacing w:after="0" w:line="259"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第三条</w:t>
      </w:r>
      <w:r>
        <w:rPr>
          <w:sz w:val="20"/>
          <w:szCs w:val="20"/>
          <w:color w:val="auto"/>
        </w:rPr>
        <w:tab/>
      </w:r>
      <w:r>
        <w:rPr>
          <w:rFonts w:ascii="宋体" w:cs="宋体" w:eastAsia="宋体" w:hAnsi="宋体"/>
          <w:sz w:val="32"/>
          <w:szCs w:val="32"/>
          <w:color w:val="auto"/>
        </w:rPr>
        <w:t>委托人和其他相关当事人委托资产评估业务，</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应当依法提供资产评估对象法律权属等资料，并保证其真实</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性、完整性、合法性。</w:t>
      </w:r>
    </w:p>
    <w:p>
      <w:pPr>
        <w:spacing w:after="0" w:line="259"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第四条</w:t>
      </w:r>
      <w:r>
        <w:rPr>
          <w:sz w:val="20"/>
          <w:szCs w:val="20"/>
          <w:color w:val="auto"/>
        </w:rPr>
        <w:tab/>
      </w:r>
      <w:r>
        <w:rPr>
          <w:rFonts w:ascii="宋体" w:cs="宋体" w:eastAsia="宋体" w:hAnsi="宋体"/>
          <w:sz w:val="32"/>
          <w:szCs w:val="32"/>
          <w:color w:val="auto"/>
        </w:rPr>
        <w:t>资产评估对象法律权属对理解资产评估结论</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有重大影响，执行资产评估业务应当予以关注并恰当披露。</w:t>
      </w:r>
    </w:p>
    <w:p>
      <w:pPr>
        <w:spacing w:after="0" w:line="259"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第五条</w:t>
      </w:r>
      <w:r>
        <w:rPr>
          <w:sz w:val="20"/>
          <w:szCs w:val="20"/>
          <w:color w:val="auto"/>
        </w:rPr>
        <w:tab/>
      </w:r>
      <w:r>
        <w:rPr>
          <w:rFonts w:ascii="宋体" w:cs="宋体" w:eastAsia="宋体" w:hAnsi="宋体"/>
          <w:sz w:val="32"/>
          <w:szCs w:val="32"/>
          <w:color w:val="auto"/>
        </w:rPr>
        <w:t>执行资产评估业务，应当明确告知委托人和其</w:t>
      </w:r>
    </w:p>
    <w:p>
      <w:pPr>
        <w:spacing w:after="0" w:line="270" w:lineRule="exact"/>
        <w:rPr>
          <w:sz w:val="24"/>
          <w:szCs w:val="24"/>
          <w:color w:val="auto"/>
        </w:rPr>
      </w:pPr>
    </w:p>
    <w:p>
      <w:pPr>
        <w:jc w:val="center"/>
        <w:ind w:right="6"/>
        <w:spacing w:after="0" w:line="354" w:lineRule="exact"/>
        <w:rPr>
          <w:sz w:val="20"/>
          <w:szCs w:val="20"/>
          <w:color w:val="auto"/>
        </w:rPr>
      </w:pPr>
      <w:r>
        <w:rPr>
          <w:rFonts w:ascii="宋体" w:cs="宋体" w:eastAsia="宋体" w:hAnsi="宋体"/>
          <w:sz w:val="31"/>
          <w:szCs w:val="31"/>
          <w:color w:val="auto"/>
        </w:rPr>
        <w:t>他相关当事人，执行资产评估业务的目的是对资产评估对象</w:t>
      </w:r>
    </w:p>
    <w:p>
      <w:pPr>
        <w:spacing w:after="0" w:line="270" w:lineRule="exact"/>
        <w:rPr>
          <w:sz w:val="24"/>
          <w:szCs w:val="24"/>
          <w:color w:val="auto"/>
        </w:rPr>
      </w:pPr>
    </w:p>
    <w:p>
      <w:pPr>
        <w:jc w:val="center"/>
        <w:ind w:right="6"/>
        <w:spacing w:after="0" w:line="354" w:lineRule="exact"/>
        <w:rPr>
          <w:sz w:val="20"/>
          <w:szCs w:val="20"/>
          <w:color w:val="auto"/>
        </w:rPr>
      </w:pPr>
      <w:r>
        <w:rPr>
          <w:rFonts w:ascii="宋体" w:cs="宋体" w:eastAsia="宋体" w:hAnsi="宋体"/>
          <w:sz w:val="31"/>
          <w:szCs w:val="31"/>
          <w:color w:val="auto"/>
        </w:rPr>
        <w:t>价值进行估算并发表专业意见，对资产评估对象法律权属确</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认或者发表意见超出资产评估专业人员的执业范围。资产评</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估专业人员不得对资产评估对象的法律权属提供保证。</w:t>
      </w:r>
    </w:p>
    <w:p>
      <w:pPr>
        <w:spacing w:after="0" w:line="271" w:lineRule="exact"/>
        <w:rPr>
          <w:sz w:val="24"/>
          <w:szCs w:val="24"/>
          <w:color w:val="auto"/>
        </w:rPr>
      </w:pPr>
    </w:p>
    <w:p>
      <w:pPr>
        <w:ind w:left="1000"/>
        <w:spacing w:after="0" w:line="354" w:lineRule="exact"/>
        <w:tabs>
          <w:tab w:leader="none" w:pos="2260" w:val="left"/>
        </w:tabs>
        <w:rPr>
          <w:sz w:val="20"/>
          <w:szCs w:val="20"/>
          <w:color w:val="auto"/>
        </w:rPr>
      </w:pPr>
      <w:r>
        <w:rPr>
          <w:rFonts w:ascii="宋体" w:cs="宋体" w:eastAsia="宋体" w:hAnsi="宋体"/>
          <w:sz w:val="31"/>
          <w:szCs w:val="31"/>
          <w:b w:val="1"/>
          <w:bCs w:val="1"/>
          <w:color w:val="auto"/>
        </w:rPr>
        <w:t>第六条</w:t>
      </w:r>
      <w:r>
        <w:rPr>
          <w:sz w:val="20"/>
          <w:szCs w:val="20"/>
          <w:color w:val="auto"/>
        </w:rPr>
        <w:tab/>
      </w:r>
      <w:r>
        <w:rPr>
          <w:rFonts w:ascii="宋体" w:cs="宋体" w:eastAsia="宋体" w:hAnsi="宋体"/>
          <w:sz w:val="31"/>
          <w:szCs w:val="31"/>
          <w:color w:val="auto"/>
        </w:rPr>
        <w:t>对于法律权属不清、存在瑕疵，权属关系复杂、</w:t>
      </w:r>
    </w:p>
    <w:p>
      <w:pPr>
        <w:spacing w:after="0" w:line="270" w:lineRule="exact"/>
        <w:rPr>
          <w:sz w:val="24"/>
          <w:szCs w:val="24"/>
          <w:color w:val="auto"/>
        </w:rPr>
      </w:pPr>
    </w:p>
    <w:p>
      <w:pPr>
        <w:jc w:val="center"/>
        <w:ind w:right="6"/>
        <w:spacing w:after="0" w:line="354" w:lineRule="exact"/>
        <w:rPr>
          <w:sz w:val="20"/>
          <w:szCs w:val="20"/>
          <w:color w:val="auto"/>
        </w:rPr>
      </w:pPr>
      <w:r>
        <w:rPr>
          <w:rFonts w:ascii="宋体" w:cs="宋体" w:eastAsia="宋体" w:hAnsi="宋体"/>
          <w:sz w:val="31"/>
          <w:szCs w:val="31"/>
          <w:color w:val="auto"/>
        </w:rPr>
        <w:t>权属资料不完备的资产评估对象，资产评估专业人员应当对</w:t>
      </w:r>
    </w:p>
    <w:p>
      <w:pPr>
        <w:spacing w:after="0" w:line="270" w:lineRule="exact"/>
        <w:rPr>
          <w:sz w:val="24"/>
          <w:szCs w:val="24"/>
          <w:color w:val="auto"/>
        </w:rPr>
      </w:pPr>
    </w:p>
    <w:p>
      <w:pPr>
        <w:jc w:val="center"/>
        <w:ind w:right="6"/>
        <w:spacing w:after="0" w:line="354" w:lineRule="exact"/>
        <w:rPr>
          <w:sz w:val="20"/>
          <w:szCs w:val="20"/>
          <w:color w:val="auto"/>
        </w:rPr>
      </w:pPr>
      <w:r>
        <w:rPr>
          <w:rFonts w:ascii="宋体" w:cs="宋体" w:eastAsia="宋体" w:hAnsi="宋体"/>
          <w:sz w:val="31"/>
          <w:szCs w:val="31"/>
          <w:color w:val="auto"/>
        </w:rPr>
        <w:t>其法律权属予以特别关注，要求委托人和其他相关当事人提</w:t>
      </w:r>
    </w:p>
    <w:p>
      <w:pPr>
        <w:spacing w:after="0" w:line="270" w:lineRule="exact"/>
        <w:rPr>
          <w:sz w:val="24"/>
          <w:szCs w:val="24"/>
          <w:color w:val="auto"/>
        </w:rPr>
      </w:pPr>
    </w:p>
    <w:p>
      <w:pPr>
        <w:jc w:val="center"/>
        <w:ind w:right="6"/>
        <w:spacing w:after="0" w:line="354" w:lineRule="exact"/>
        <w:rPr>
          <w:sz w:val="20"/>
          <w:szCs w:val="20"/>
          <w:color w:val="auto"/>
        </w:rPr>
      </w:pPr>
      <w:r>
        <w:rPr>
          <w:rFonts w:ascii="宋体" w:cs="宋体" w:eastAsia="宋体" w:hAnsi="宋体"/>
          <w:sz w:val="31"/>
          <w:szCs w:val="31"/>
          <w:color w:val="auto"/>
        </w:rPr>
        <w:t>供承诺函或者说明函予以充分说明。资产评估机构应当根据</w:t>
      </w:r>
    </w:p>
    <w:p>
      <w:pPr>
        <w:sectPr>
          <w:pgSz w:w="11900" w:h="16838" w:orient="portrait"/>
          <w:cols w:equalWidth="0" w:num="1">
            <w:col w:w="9026"/>
          </w:cols>
          <w:pgMar w:left="1440" w:top="1440" w:right="1440" w:bottom="947" w:gutter="0" w:footer="0" w:header="0"/>
        </w:sectPr>
      </w:pPr>
    </w:p>
    <w:bookmarkStart w:id="1" w:name="page2"/>
    <w:bookmarkEnd w:id="1"/>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前述法律权属状况可能对资产评估结论和资产评估目的所</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对应经济行为造成的影响，考虑是否受理资产评估业务。</w:t>
      </w:r>
    </w:p>
    <w:p>
      <w:pPr>
        <w:spacing w:after="0" w:line="259" w:lineRule="exact"/>
        <w:rPr>
          <w:sz w:val="20"/>
          <w:szCs w:val="20"/>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第七条</w:t>
      </w:r>
      <w:r>
        <w:rPr>
          <w:sz w:val="20"/>
          <w:szCs w:val="20"/>
          <w:color w:val="auto"/>
        </w:rPr>
        <w:tab/>
      </w:r>
      <w:r>
        <w:rPr>
          <w:rFonts w:ascii="宋体" w:cs="宋体" w:eastAsia="宋体" w:hAnsi="宋体"/>
          <w:sz w:val="32"/>
          <w:szCs w:val="32"/>
          <w:color w:val="auto"/>
        </w:rPr>
        <w:t>资产评估专业人员发现委托人和其他相关当</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事人提供虚假的法律权属资料，或者委托人和其他相关当事</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人拒绝或者无法提供执行资产评估业务必要的权属证明，资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产评估机构有权依法拒绝其履行合同的要求。</w:t>
      </w:r>
    </w:p>
    <w:p>
      <w:pPr>
        <w:spacing w:after="0" w:line="307" w:lineRule="exact"/>
        <w:rPr>
          <w:sz w:val="20"/>
          <w:szCs w:val="20"/>
          <w:color w:val="auto"/>
        </w:rPr>
      </w:pPr>
    </w:p>
    <w:p>
      <w:pPr>
        <w:jc w:val="both"/>
        <w:ind w:left="360" w:right="366" w:firstLine="643"/>
        <w:spacing w:after="0" w:line="522" w:lineRule="exact"/>
        <w:rPr>
          <w:sz w:val="20"/>
          <w:szCs w:val="20"/>
          <w:color w:val="auto"/>
        </w:rPr>
      </w:pPr>
      <w:r>
        <w:rPr>
          <w:rFonts w:ascii="宋体" w:cs="宋体" w:eastAsia="宋体" w:hAnsi="宋体"/>
          <w:sz w:val="32"/>
          <w:szCs w:val="32"/>
          <w:b w:val="1"/>
          <w:bCs w:val="1"/>
          <w:color w:val="auto"/>
        </w:rPr>
        <w:t xml:space="preserve">第八条 </w:t>
      </w:r>
      <w:r>
        <w:rPr>
          <w:rFonts w:ascii="宋体" w:cs="宋体" w:eastAsia="宋体" w:hAnsi="宋体"/>
          <w:sz w:val="32"/>
          <w:szCs w:val="32"/>
          <w:color w:val="auto"/>
        </w:rPr>
        <w:t>执行资产评估业务，应当对委托人和其他相关当事人提供的资产评估对象法律权属资料进行核查验证，并对核查验证情况予以披露。</w:t>
      </w:r>
    </w:p>
    <w:p>
      <w:pPr>
        <w:spacing w:after="0" w:line="308" w:lineRule="exact"/>
        <w:rPr>
          <w:sz w:val="20"/>
          <w:szCs w:val="20"/>
          <w:color w:val="auto"/>
        </w:rPr>
      </w:pPr>
    </w:p>
    <w:p>
      <w:pPr>
        <w:ind w:left="360" w:right="366" w:firstLine="641"/>
        <w:spacing w:after="0" w:line="522" w:lineRule="exact"/>
        <w:rPr>
          <w:sz w:val="20"/>
          <w:szCs w:val="20"/>
          <w:color w:val="auto"/>
        </w:rPr>
      </w:pPr>
      <w:r>
        <w:rPr>
          <w:rFonts w:ascii="宋体" w:cs="宋体" w:eastAsia="宋体" w:hAnsi="宋体"/>
          <w:sz w:val="32"/>
          <w:szCs w:val="32"/>
          <w:color w:val="auto"/>
        </w:rPr>
        <w:t>对资产评估对象法律权属资料核查验证的方式通常包括核对原件与复印件的一致性、通过公开的信息渠道进行查询、到相关产权登记部门现场查询等。</w:t>
      </w:r>
    </w:p>
    <w:p>
      <w:pPr>
        <w:spacing w:after="0" w:line="307"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资产评估对象是股权的，应当按照重要性原则，对相关资产的法律权属资料进行核查验证。</w:t>
      </w:r>
    </w:p>
    <w:p>
      <w:pPr>
        <w:spacing w:after="0" w:line="309" w:lineRule="exact"/>
        <w:rPr>
          <w:sz w:val="20"/>
          <w:szCs w:val="20"/>
          <w:color w:val="auto"/>
        </w:rPr>
      </w:pPr>
    </w:p>
    <w:p>
      <w:pPr>
        <w:ind w:left="360" w:right="366" w:firstLine="641"/>
        <w:spacing w:after="0" w:line="562" w:lineRule="exact"/>
        <w:rPr>
          <w:sz w:val="20"/>
          <w:szCs w:val="20"/>
          <w:color w:val="auto"/>
        </w:rPr>
      </w:pPr>
      <w:r>
        <w:rPr>
          <w:rFonts w:ascii="宋体" w:cs="宋体" w:eastAsia="宋体" w:hAnsi="宋体"/>
          <w:sz w:val="32"/>
          <w:szCs w:val="32"/>
          <w:color w:val="auto"/>
        </w:rPr>
        <w:t>超出资产评估专业人员能力的核查验证事项，资产评估专业人员可以委托或者要求委托人委托律师事务所等相关机构出具专业意见。无法核查验证的事项，可以根据其对评估结论的影响程度采取在资产评估报告中披露等措施，直至终止执行资产评估业务。</w:t>
      </w:r>
    </w:p>
    <w:p>
      <w:pPr>
        <w:spacing w:after="0" w:line="267" w:lineRule="exact"/>
        <w:rPr>
          <w:sz w:val="20"/>
          <w:szCs w:val="20"/>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第九条</w:t>
      </w:r>
      <w:r>
        <w:rPr>
          <w:sz w:val="20"/>
          <w:szCs w:val="20"/>
          <w:color w:val="auto"/>
        </w:rPr>
        <w:tab/>
      </w:r>
      <w:r>
        <w:rPr>
          <w:rFonts w:ascii="宋体" w:cs="宋体" w:eastAsia="宋体" w:hAnsi="宋体"/>
          <w:sz w:val="32"/>
          <w:szCs w:val="32"/>
          <w:color w:val="auto"/>
        </w:rPr>
        <w:t>资产评估专业人员应当在资产评估报告中描</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述资产评估对象法律权属，对评估对象法律权属存在的瑕疵</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予以披露。</w:t>
      </w:r>
    </w:p>
    <w:p>
      <w:pPr>
        <w:sectPr>
          <w:pgSz w:w="11900" w:h="16838" w:orient="portrait"/>
          <w:cols w:equalWidth="0" w:num="1">
            <w:col w:w="9026"/>
          </w:cols>
          <w:pgMar w:left="1440" w:top="1440" w:right="1440" w:bottom="1440" w:gutter="0" w:footer="0" w:header="0"/>
        </w:sectPr>
      </w:pPr>
    </w:p>
    <w:bookmarkStart w:id="2" w:name="page3"/>
    <w:bookmarkEnd w:id="2"/>
    <w:p>
      <w:pPr>
        <w:spacing w:after="0" w:line="115"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资产评估专业人员以设定产权为前提进行资产评估，应</w:t>
      </w:r>
    </w:p>
    <w:p>
      <w:pPr>
        <w:spacing w:after="0" w:line="271" w:lineRule="exact"/>
        <w:rPr>
          <w:sz w:val="20"/>
          <w:szCs w:val="20"/>
          <w:color w:val="auto"/>
        </w:rPr>
      </w:pPr>
    </w:p>
    <w:p>
      <w:pPr>
        <w:jc w:val="center"/>
        <w:ind w:right="-13"/>
        <w:spacing w:after="0" w:line="354" w:lineRule="exact"/>
        <w:rPr>
          <w:sz w:val="20"/>
          <w:szCs w:val="20"/>
          <w:color w:val="auto"/>
        </w:rPr>
      </w:pPr>
      <w:r>
        <w:rPr>
          <w:rFonts w:ascii="宋体" w:cs="宋体" w:eastAsia="宋体" w:hAnsi="宋体"/>
          <w:sz w:val="31"/>
          <w:szCs w:val="31"/>
          <w:color w:val="auto"/>
        </w:rPr>
        <w:t>当对资产评估对象法律权属和设定产权前提予以充分披露。</w:t>
      </w:r>
    </w:p>
    <w:p>
      <w:pPr>
        <w:spacing w:after="0" w:line="259" w:lineRule="exact"/>
        <w:rPr>
          <w:sz w:val="20"/>
          <w:szCs w:val="20"/>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第十条</w:t>
      </w:r>
      <w:r>
        <w:rPr>
          <w:sz w:val="20"/>
          <w:szCs w:val="20"/>
          <w:color w:val="auto"/>
        </w:rPr>
        <w:tab/>
      </w:r>
      <w:r>
        <w:rPr>
          <w:rFonts w:ascii="宋体" w:cs="宋体" w:eastAsia="宋体" w:hAnsi="宋体"/>
          <w:sz w:val="32"/>
          <w:szCs w:val="32"/>
          <w:color w:val="auto"/>
        </w:rPr>
        <w:t>委托人和其他相关当事人提供的资产评估对</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象法律权属资料、核查验证情况以及其他相关说明材料，应</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当在资产评估报告和工作底稿中反映。</w:t>
      </w:r>
    </w:p>
    <w:p>
      <w:pPr>
        <w:spacing w:after="0" w:line="248" w:lineRule="exact"/>
        <w:rPr>
          <w:sz w:val="20"/>
          <w:szCs w:val="20"/>
          <w:color w:val="auto"/>
        </w:rPr>
      </w:pPr>
    </w:p>
    <w:p>
      <w:pPr>
        <w:ind w:left="1000"/>
        <w:spacing w:after="0" w:line="376" w:lineRule="exact"/>
        <w:tabs>
          <w:tab w:leader="none" w:pos="2580" w:val="left"/>
        </w:tabs>
        <w:rPr>
          <w:sz w:val="20"/>
          <w:szCs w:val="20"/>
          <w:color w:val="auto"/>
        </w:rPr>
      </w:pPr>
      <w:r>
        <w:rPr>
          <w:rFonts w:ascii="宋体" w:cs="宋体" w:eastAsia="宋体" w:hAnsi="宋体"/>
          <w:sz w:val="31"/>
          <w:szCs w:val="31"/>
          <w:b w:val="1"/>
          <w:bCs w:val="1"/>
          <w:color w:val="auto"/>
        </w:rPr>
        <w:t>第十一条</w:t>
      </w:r>
      <w:r>
        <w:rPr>
          <w:sz w:val="20"/>
          <w:szCs w:val="20"/>
          <w:color w:val="auto"/>
        </w:rPr>
        <w:tab/>
      </w:r>
      <w:r>
        <w:rPr>
          <w:rFonts w:ascii="宋体" w:cs="宋体" w:eastAsia="宋体" w:hAnsi="宋体"/>
          <w:sz w:val="31"/>
          <w:szCs w:val="31"/>
          <w:color w:val="auto"/>
        </w:rPr>
        <w:t>本指导意见自</w:t>
      </w:r>
      <w:r>
        <w:rPr>
          <w:rFonts w:ascii="Arial" w:cs="Arial" w:eastAsia="Arial" w:hAnsi="Arial"/>
          <w:sz w:val="31"/>
          <w:szCs w:val="31"/>
          <w:color w:val="auto"/>
        </w:rPr>
        <w:t xml:space="preserve"> 2017 </w:t>
      </w:r>
      <w:r>
        <w:rPr>
          <w:rFonts w:ascii="宋体" w:cs="宋体" w:eastAsia="宋体" w:hAnsi="宋体"/>
          <w:sz w:val="31"/>
          <w:szCs w:val="31"/>
          <w:color w:val="auto"/>
        </w:rPr>
        <w:t>年</w:t>
      </w:r>
      <w:r>
        <w:rPr>
          <w:rFonts w:ascii="Arial" w:cs="Arial" w:eastAsia="Arial" w:hAnsi="Arial"/>
          <w:sz w:val="31"/>
          <w:szCs w:val="31"/>
          <w:color w:val="auto"/>
        </w:rPr>
        <w:t xml:space="preserve"> 10 </w:t>
      </w:r>
      <w:r>
        <w:rPr>
          <w:rFonts w:ascii="宋体" w:cs="宋体" w:eastAsia="宋体" w:hAnsi="宋体"/>
          <w:sz w:val="31"/>
          <w:szCs w:val="31"/>
          <w:color w:val="auto"/>
        </w:rPr>
        <w:t>月</w:t>
      </w:r>
      <w:r>
        <w:rPr>
          <w:rFonts w:ascii="Arial" w:cs="Arial" w:eastAsia="Arial" w:hAnsi="Arial"/>
          <w:sz w:val="31"/>
          <w:szCs w:val="31"/>
          <w:color w:val="auto"/>
        </w:rPr>
        <w:t xml:space="preserve"> 1 </w:t>
      </w:r>
      <w:r>
        <w:rPr>
          <w:rFonts w:ascii="宋体" w:cs="宋体" w:eastAsia="宋体" w:hAnsi="宋体"/>
          <w:sz w:val="31"/>
          <w:szCs w:val="31"/>
          <w:color w:val="auto"/>
        </w:rPr>
        <w:t>日起施行。中</w:t>
      </w:r>
    </w:p>
    <w:p>
      <w:pPr>
        <w:spacing w:after="0" w:line="260" w:lineRule="exact"/>
        <w:rPr>
          <w:sz w:val="20"/>
          <w:szCs w:val="20"/>
          <w:color w:val="auto"/>
        </w:rPr>
      </w:pPr>
    </w:p>
    <w:p>
      <w:pPr>
        <w:jc w:val="center"/>
        <w:ind w:right="6"/>
        <w:spacing w:after="0" w:line="364" w:lineRule="exact"/>
        <w:rPr>
          <w:sz w:val="20"/>
          <w:szCs w:val="20"/>
          <w:color w:val="auto"/>
        </w:rPr>
      </w:pPr>
      <w:r>
        <w:rPr>
          <w:rFonts w:ascii="宋体" w:cs="宋体" w:eastAsia="宋体" w:hAnsi="宋体"/>
          <w:sz w:val="30"/>
          <w:szCs w:val="30"/>
          <w:color w:val="auto"/>
        </w:rPr>
        <w:t>国注册会计师协会于</w:t>
      </w:r>
      <w:r>
        <w:rPr>
          <w:rFonts w:ascii="Arial" w:cs="Arial" w:eastAsia="Arial" w:hAnsi="Arial"/>
          <w:sz w:val="30"/>
          <w:szCs w:val="30"/>
          <w:color w:val="auto"/>
        </w:rPr>
        <w:t xml:space="preserve"> 2003 </w:t>
      </w:r>
      <w:r>
        <w:rPr>
          <w:rFonts w:ascii="宋体" w:cs="宋体" w:eastAsia="宋体" w:hAnsi="宋体"/>
          <w:sz w:val="30"/>
          <w:szCs w:val="30"/>
          <w:color w:val="auto"/>
        </w:rPr>
        <w:t>年</w:t>
      </w:r>
      <w:r>
        <w:rPr>
          <w:rFonts w:ascii="Arial" w:cs="Arial" w:eastAsia="Arial" w:hAnsi="Arial"/>
          <w:sz w:val="30"/>
          <w:szCs w:val="30"/>
          <w:color w:val="auto"/>
        </w:rPr>
        <w:t xml:space="preserve"> 1 </w:t>
      </w:r>
      <w:r>
        <w:rPr>
          <w:rFonts w:ascii="宋体" w:cs="宋体" w:eastAsia="宋体" w:hAnsi="宋体"/>
          <w:sz w:val="30"/>
          <w:szCs w:val="30"/>
          <w:color w:val="auto"/>
        </w:rPr>
        <w:t>月</w:t>
      </w:r>
      <w:r>
        <w:rPr>
          <w:rFonts w:ascii="Arial" w:cs="Arial" w:eastAsia="Arial" w:hAnsi="Arial"/>
          <w:sz w:val="30"/>
          <w:szCs w:val="30"/>
          <w:color w:val="auto"/>
        </w:rPr>
        <w:t xml:space="preserve"> 28 </w:t>
      </w:r>
      <w:r>
        <w:rPr>
          <w:rFonts w:ascii="宋体" w:cs="宋体" w:eastAsia="宋体" w:hAnsi="宋体"/>
          <w:sz w:val="30"/>
          <w:szCs w:val="30"/>
          <w:color w:val="auto"/>
        </w:rPr>
        <w:t>日发布的《关于印发〈注</w:t>
      </w:r>
    </w:p>
    <w:p>
      <w:pPr>
        <w:spacing w:after="0" w:line="282" w:lineRule="exact"/>
        <w:rPr>
          <w:sz w:val="20"/>
          <w:szCs w:val="20"/>
          <w:color w:val="auto"/>
        </w:rPr>
      </w:pPr>
    </w:p>
    <w:p>
      <w:pPr>
        <w:ind w:left="360"/>
        <w:spacing w:after="0" w:line="343" w:lineRule="exact"/>
        <w:rPr>
          <w:sz w:val="20"/>
          <w:szCs w:val="20"/>
          <w:color w:val="auto"/>
        </w:rPr>
      </w:pPr>
      <w:r>
        <w:rPr>
          <w:rFonts w:ascii="宋体" w:cs="宋体" w:eastAsia="宋体" w:hAnsi="宋体"/>
          <w:sz w:val="30"/>
          <w:szCs w:val="30"/>
          <w:color w:val="auto"/>
        </w:rPr>
        <w:t>册资产评估师关注评估对象法律权属指导意见〉的通知》（会</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协〔</w:t>
      </w:r>
      <w:r>
        <w:rPr>
          <w:rFonts w:ascii="Arial" w:cs="Arial" w:eastAsia="Arial" w:hAnsi="Arial"/>
          <w:sz w:val="32"/>
          <w:szCs w:val="32"/>
          <w:color w:val="auto"/>
        </w:rPr>
        <w:t>2003</w:t>
      </w:r>
      <w:r>
        <w:rPr>
          <w:rFonts w:ascii="宋体" w:cs="宋体" w:eastAsia="宋体" w:hAnsi="宋体"/>
          <w:sz w:val="32"/>
          <w:szCs w:val="32"/>
          <w:color w:val="auto"/>
        </w:rPr>
        <w:t>〕</w:t>
      </w:r>
      <w:r>
        <w:rPr>
          <w:rFonts w:ascii="Arial" w:cs="Arial" w:eastAsia="Arial" w:hAnsi="Arial"/>
          <w:sz w:val="32"/>
          <w:szCs w:val="32"/>
          <w:color w:val="auto"/>
        </w:rPr>
        <w:t xml:space="preserve">18 </w:t>
      </w:r>
      <w:r>
        <w:rPr>
          <w:rFonts w:ascii="宋体" w:cs="宋体" w:eastAsia="宋体" w:hAnsi="宋体"/>
          <w:sz w:val="32"/>
          <w:szCs w:val="32"/>
          <w:color w:val="auto"/>
        </w:rPr>
        <w:t>号）同时废止。</w:t>
      </w:r>
    </w:p>
    <w:sectPr>
      <w:pgSz w:w="11900" w:h="16838"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2017-09-14T08:53:51Z</dcterms:created>
  <dcterms:modified xsi:type="dcterms:W3CDTF">2017-09-14T08:53:51Z</dcterms:modified>
</cp:coreProperties>
</file>