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104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附件</w:t>
      </w: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53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b w:val="1"/>
          <w:bCs w:val="1"/>
          <w:color w:val="auto"/>
        </w:rPr>
        <w:t>资产评估执业准则</w:t>
      </w:r>
      <w:r>
        <w:rPr>
          <w:rFonts w:ascii="Arial" w:cs="Arial" w:eastAsia="Arial" w:hAnsi="Arial"/>
          <w:sz w:val="44"/>
          <w:szCs w:val="44"/>
          <w:b w:val="1"/>
          <w:bCs w:val="1"/>
          <w:color w:val="auto"/>
        </w:rPr>
        <w:t>——</w:t>
      </w:r>
      <w:r>
        <w:rPr>
          <w:rFonts w:ascii="宋体" w:cs="宋体" w:eastAsia="宋体" w:hAnsi="宋体"/>
          <w:sz w:val="44"/>
          <w:szCs w:val="44"/>
          <w:b w:val="1"/>
          <w:bCs w:val="1"/>
          <w:color w:val="auto"/>
        </w:rPr>
        <w:t>利用专家工作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8" w:lineRule="exact"/>
        <w:rPr>
          <w:sz w:val="24"/>
          <w:szCs w:val="24"/>
          <w:color w:val="auto"/>
        </w:rPr>
      </w:pPr>
    </w:p>
    <w:p>
      <w:pPr>
        <w:jc w:val="center"/>
        <w:ind w:right="6"/>
        <w:spacing w:after="0" w:line="50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b w:val="1"/>
          <w:bCs w:val="1"/>
          <w:color w:val="auto"/>
        </w:rPr>
        <w:t>及相关报告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6" w:lineRule="exact"/>
        <w:rPr>
          <w:sz w:val="24"/>
          <w:szCs w:val="24"/>
          <w:color w:val="auto"/>
        </w:rPr>
      </w:pPr>
    </w:p>
    <w:p>
      <w:pPr>
        <w:jc w:val="center"/>
        <w:ind w:left="320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第一章</w:t>
        <w:tab/>
        <w:t>总则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为规范资产评估机构及其资产评估专业人员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利用专家工作及相关报告行为，保护资产评估当事人的合法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权益和公共利益，根据《资产评估基本准则》制定本准则。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本准则所称利用专家工作及相关报告，是指资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产评估机构在执行资产评估业务过程中，聘请专家个人协助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工作、利用专业报告和引用单项资产评估报告的行为。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聘请专家个人协助工作是指因涉及特殊专业知识和经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验，聘请某一领域中具有专门知识、技能和经验的个人协助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工作，作为资产评估专业支持。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利用专业报告是指因涉及特殊专业知识和经验，利用某</w:t>
      </w: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一领域中具有专门资质或者相关经验的机构所出具的专业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报告，作为资产评估依据。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引用单项资产评估报告是指资产评估机构根据法律、行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政法规等要求，引用其他评估机构出具的单项资产评估报告，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作为资产评估报告的组成部分。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第三条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执行资产评估业务过程中利用专家工作及相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关报告，应当遵守本准则。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47" w:gutter="0" w:footer="0" w:header="0"/>
        </w:sectPr>
      </w:pPr>
    </w:p>
    <w:bookmarkStart w:id="1" w:name="page2"/>
    <w:bookmarkEnd w:id="1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jc w:val="center"/>
        <w:ind w:left="192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第二章</w:t>
        <w:tab/>
        <w:t>聘请专家个人协助工作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第四条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资产评估机构执行资产评估业务，需要特殊专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-313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业知识和经验的专家个人提供协助时，可以聘请其协助工作。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第五条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资产评估机构聘请相关专家协助工作的内容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通常包括：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（一）对资产性能、先进性等的专业判断；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（二）对特殊资产实物状况、技术状况和使用状况的判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断；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（三）对特殊行业企业运营、市场状况等的判断；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（四）资产评估过程中可能利用专家协助的其他工作。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第六条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资产评估机构在聘请专家时，应当：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10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（一）综合考虑拟聘专家的专业特长、职称、专业资格、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声望等因素，综合分析评判专家的专业能力；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（二）关注专家的独立性。通常，专家与委托人或者其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他相关当事人存在关联关系，专家工作的独立性可能受到影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响。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第七条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资产评估机构聘请相关专家协助工作，必要时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应当征得委托人同意，并由资产评估机构与专家明确下列基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本事项：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（一）工作的目标、范围和成果；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（二）工作成果的归属及预定用途；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（三）对信息保密的要求。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103" w:gutter="0" w:footer="0" w:header="0"/>
        </w:sectPr>
      </w:pPr>
    </w:p>
    <w:bookmarkStart w:id="2" w:name="page3"/>
    <w:bookmarkEnd w:id="2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第八条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资产评估机构聘请专家协助工作时，应当向专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家介绍资产评估相关规定和评估业务相关情况，提出具体工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作要求。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第九条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资产评估专业人员应当在工作底稿中记录聘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请专家协助工作的情况以及专家工作成果。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26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资产评估机构和资产评估专业人员不因聘请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专家协助工作而减轻或者免除法律责任。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256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第三章</w:t>
        <w:tab/>
        <w:t>利用专业报告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执行资产评估业务，涉及特殊专业知识和经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验时，可以利用专业机构出具的专业报告作为评估依据。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第十二条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资产评估机构及其资产评估专业人员利用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的专业报告，应当通过合法途径获得，通常包括：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（一）公开发表的相关专业报告；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（二）已经正式出具的相关专业报告；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（三）专门聘请专业机构完成相关工作，并出具的相应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专业报告。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第十三条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资产评估专业人员利用的专业报告类型通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常包括：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（一）对资产数量和实物状况的测定报告；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（二）需用特殊技术或者方法的相关测算报告；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（三）特殊资产清查，必要的技术鉴定或者检测报告；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（四）相关行业或者业务的分析判断报告；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47" w:gutter="0" w:footer="0" w:header="0"/>
        </w:sectPr>
      </w:pPr>
    </w:p>
    <w:bookmarkStart w:id="3" w:name="page4"/>
    <w:bookmarkEnd w:id="3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（五）审计报告；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（六）针对预测性财务信息的审核报告；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（七）对资产权属、相关文件和合同等的法律意见；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（八）评估过程中可能利用的其他专业资料。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第十四条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资产评估机构聘请专业机构出具专业报告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时，应当：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10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（一）综合考虑专业机构的业务范围、执业资质、业绩、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地位等因素，判断其所出具的专业报告作为评估依据的可靠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性；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（二）关注专业机构的独立性。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6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第十五条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资产评估机构聘请专业机构出具专业报告，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应当由资产评估机构与专业机构签署约定文件，明确下列基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本事项：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（一）工作的目标、范围和成果；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（二）工作成果的归属及预定用途；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（三）对信息保密的要求。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6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第十六条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资产评估机构聘请专业机构出具专业报告，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必要时应当征得委托人同意。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资产评估机构可以要求委托人聘请专业机构出具专业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报告，并要求所出具的专业报告满足资产评估业务的需要。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第十七条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资产评估专业人员利用专业报告，通常应当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关注以下事项：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440" w:gutter="0" w:footer="0" w:header="0"/>
        </w:sectPr>
      </w:pPr>
    </w:p>
    <w:bookmarkStart w:id="4" w:name="page5"/>
    <w:bookmarkEnd w:id="4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（一）利用与资产评估同时开展相关工作的专业机构出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具的专业报告作为评估依据时，应当考虑其与资产评估的专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业衔接关系；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（二）利用委托人提供的、资产评估前已经正式出具的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专业报告作为评估依据时，应当判断其作为评估依据的时效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性和可靠性；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（三）向专业机构介绍资产评估相关规定和资产评估业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务相关情况，提出出具专业报告的具体要求。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第十八条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资产评估专业人员利用专业机构出具的专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业报告，应当关注其披露的、对专业报告结论存在重大影响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的事项。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第十九条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资产评估专业人员应当将利用的专业报告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作为工作底稿，必要时作为资产评估报告附件。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192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第四章</w:t>
        <w:tab/>
        <w:t>引用单项资产评估报告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58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资产评估机构应当根据法律、行政法规等要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求，确定是否引用以及如何引用相关单项资产评估报告。引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用单项资产评估报告应当与委托人事先约定。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资产评估专业人员应当获取正式出具的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单项资产评估报告，并全面理解单项资产评估报告以及相关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附件。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第二十二条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资产评估专业人员应当关注拟引用单项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资产评估报告的性质、评估目的、评估基准日、评估对象、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47" w:gutter="0" w:footer="0" w:header="0"/>
        </w:sectPr>
      </w:pPr>
    </w:p>
    <w:bookmarkStart w:id="5" w:name="page6"/>
    <w:bookmarkEnd w:id="5"/>
    <w:p>
      <w:pPr>
        <w:spacing w:after="0" w:line="116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评估依据、参数选取、假设前提、使用限制等是否满足资产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评估报告的引用要求；不满足资产评估报告引用要求的，不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得引用。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第二十三条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资产评估专业人员应当分析拟引用单项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right="6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资产评估报告载明的评估结论，判断其对应的资产类型与资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产评估的资产类型的一致性；分析是否存在相关负债，并予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以恰当处理。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100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对于账面无记录的单项资产，应当考虑引用或者确认的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资产类型是否符合相关规定；分析是否存在相关负债，并予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以恰当处理。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第二十四条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资产评估专业人员应当关注拟引用单项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资产评估报告的相关备案审核文件资料，分析其可能对拟引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用单项资产评估报告评估结论产生的影响。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第二十五条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资产评估专业人员应当对所引用单项资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产评估报告的评估结论与账面价值的变动情况进行客观分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析，不得发表超出自身执业能力和范围的评论意见。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第二十六条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资产评估专业人员应当关注所引用单项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资产评估报告披露的特殊事项说明，判断其是否可以引用及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其对资产评估结论的影响。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第二十七条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资产评估专业人员应当将所引用单项资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产评估报告作为工作底稿。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288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第五章</w:t>
        <w:tab/>
        <w:t>披露要求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1103" w:gutter="0" w:footer="0" w:header="0"/>
        </w:sectPr>
      </w:pPr>
    </w:p>
    <w:bookmarkStart w:id="6" w:name="page7"/>
    <w:bookmarkEnd w:id="6"/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第二十八条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聘请专家个人协助工作作为资产评估专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业支持，应当在资产评估报告中说明聘请专家工作的内容。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第二十九条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利用相关专业机构出具的专业报告作为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资产评估依据，应当在资产评估报告中披露以下内容：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（一）专业机构名称、专业报告名称、专业报告编号以</w:t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及出具日期；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（二）专业报告结论及其相关补充性或者解释性说明；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（三）其他需要披露的重要事项。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160"/>
        <w:spacing w:after="0" w:line="366" w:lineRule="exact"/>
        <w:tabs>
          <w:tab w:leader="none" w:pos="27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b w:val="1"/>
          <w:bCs w:val="1"/>
          <w:color w:val="auto"/>
        </w:rPr>
        <w:t>第三十条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2"/>
          <w:szCs w:val="32"/>
          <w:color w:val="auto"/>
        </w:rPr>
        <w:t>引用单项资产评估报告作为资产评估报告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的组成部分，应当在资产评估报告中披露以下内容：</w:t>
      </w:r>
    </w:p>
    <w:p>
      <w:pPr>
        <w:spacing w:after="0" w:line="307" w:lineRule="exact"/>
        <w:rPr>
          <w:sz w:val="20"/>
          <w:szCs w:val="20"/>
          <w:color w:val="auto"/>
        </w:rPr>
      </w:pPr>
    </w:p>
    <w:p>
      <w:pPr>
        <w:ind w:left="360" w:right="366" w:firstLine="641"/>
        <w:spacing w:after="0" w:line="47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（一）引用单项资产评估报告的评估机构名称、报告名称、报告编号、出具日期等；</w:t>
      </w: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（二）引用单项资产评估报告的资产、数量、产权权属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36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等；</w:t>
      </w:r>
    </w:p>
    <w:p>
      <w:pPr>
        <w:spacing w:after="0" w:line="307" w:lineRule="exact"/>
        <w:rPr>
          <w:sz w:val="20"/>
          <w:szCs w:val="20"/>
          <w:color w:val="auto"/>
        </w:rPr>
      </w:pPr>
    </w:p>
    <w:p>
      <w:pPr>
        <w:ind w:left="360" w:right="206" w:firstLine="641"/>
        <w:spacing w:after="0" w:line="47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（三）引用单项资产评估报告的评估方法、假设前提、使用限制以及相关事项；</w:t>
      </w:r>
    </w:p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（四）引用单项资产评估报告的评估结论；</w:t>
      </w:r>
    </w:p>
    <w:p>
      <w:pPr>
        <w:spacing w:after="0" w:line="259" w:lineRule="exact"/>
        <w:rPr>
          <w:sz w:val="20"/>
          <w:szCs w:val="20"/>
          <w:color w:val="auto"/>
        </w:rPr>
      </w:pPr>
    </w:p>
    <w:p>
      <w:pPr>
        <w:ind w:left="100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（五）其他需要披露的重要事项。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5" w:lineRule="exact"/>
        <w:rPr>
          <w:sz w:val="20"/>
          <w:szCs w:val="20"/>
          <w:color w:val="auto"/>
        </w:rPr>
      </w:pPr>
    </w:p>
    <w:p>
      <w:pPr>
        <w:jc w:val="center"/>
        <w:ind w:left="3200"/>
        <w:spacing w:after="0" w:line="366" w:lineRule="exact"/>
        <w:tabs>
          <w:tab w:leader="none" w:pos="30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第六章</w:t>
        <w:tab/>
        <w:t>附则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1000"/>
        <w:spacing w:after="0" w:line="343" w:lineRule="exact"/>
        <w:tabs>
          <w:tab w:leader="none" w:pos="29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第三十一条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0"/>
          <w:szCs w:val="30"/>
          <w:color w:val="auto"/>
        </w:rPr>
        <w:t xml:space="preserve">本准则自 </w:t>
      </w:r>
      <w:r>
        <w:rPr>
          <w:rFonts w:ascii="仿宋" w:cs="仿宋" w:eastAsia="仿宋" w:hAnsi="仿宋"/>
          <w:sz w:val="30"/>
          <w:szCs w:val="30"/>
          <w:color w:val="auto"/>
        </w:rPr>
        <w:t>2017</w:t>
      </w:r>
      <w:r>
        <w:rPr>
          <w:rFonts w:ascii="宋体" w:cs="宋体" w:eastAsia="宋体" w:hAnsi="宋体"/>
          <w:sz w:val="30"/>
          <w:szCs w:val="30"/>
          <w:color w:val="auto"/>
        </w:rPr>
        <w:t xml:space="preserve"> 年 </w:t>
      </w:r>
      <w:r>
        <w:rPr>
          <w:rFonts w:ascii="仿宋" w:cs="仿宋" w:eastAsia="仿宋" w:hAnsi="仿宋"/>
          <w:sz w:val="30"/>
          <w:szCs w:val="30"/>
          <w:color w:val="auto"/>
        </w:rPr>
        <w:t>10</w:t>
      </w:r>
      <w:r>
        <w:rPr>
          <w:rFonts w:ascii="宋体" w:cs="宋体" w:eastAsia="宋体" w:hAnsi="宋体"/>
          <w:sz w:val="30"/>
          <w:szCs w:val="30"/>
          <w:color w:val="auto"/>
        </w:rPr>
        <w:t xml:space="preserve"> 月 </w:t>
      </w:r>
      <w:r>
        <w:rPr>
          <w:rFonts w:ascii="仿宋" w:cs="仿宋" w:eastAsia="仿宋" w:hAnsi="仿宋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 xml:space="preserve"> 日起施行。中国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360"/>
        <w:spacing w:after="0" w:line="35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 xml:space="preserve">资产评估协会于 </w:t>
      </w:r>
      <w:r>
        <w:rPr>
          <w:rFonts w:ascii="仿宋" w:cs="仿宋" w:eastAsia="仿宋" w:hAnsi="仿宋"/>
          <w:sz w:val="31"/>
          <w:szCs w:val="31"/>
          <w:color w:val="auto"/>
        </w:rPr>
        <w:t>2012</w:t>
      </w:r>
      <w:r>
        <w:rPr>
          <w:rFonts w:ascii="宋体" w:cs="宋体" w:eastAsia="宋体" w:hAnsi="宋体"/>
          <w:sz w:val="31"/>
          <w:szCs w:val="31"/>
          <w:color w:val="auto"/>
        </w:rPr>
        <w:t xml:space="preserve"> 年 </w:t>
      </w:r>
      <w:r>
        <w:rPr>
          <w:rFonts w:ascii="仿宋" w:cs="仿宋" w:eastAsia="仿宋" w:hAnsi="仿宋"/>
          <w:sz w:val="31"/>
          <w:szCs w:val="31"/>
          <w:color w:val="auto"/>
        </w:rPr>
        <w:t>12</w:t>
      </w:r>
      <w:r>
        <w:rPr>
          <w:rFonts w:ascii="宋体" w:cs="宋体" w:eastAsia="宋体" w:hAnsi="宋体"/>
          <w:sz w:val="31"/>
          <w:szCs w:val="31"/>
          <w:color w:val="auto"/>
        </w:rPr>
        <w:t xml:space="preserve"> 月 </w:t>
      </w:r>
      <w:r>
        <w:rPr>
          <w:rFonts w:ascii="仿宋" w:cs="仿宋" w:eastAsia="仿宋" w:hAnsi="仿宋"/>
          <w:sz w:val="31"/>
          <w:szCs w:val="31"/>
          <w:color w:val="auto"/>
        </w:rPr>
        <w:t>28</w:t>
      </w:r>
      <w:r>
        <w:rPr>
          <w:rFonts w:ascii="宋体" w:cs="宋体" w:eastAsia="宋体" w:hAnsi="宋体"/>
          <w:sz w:val="31"/>
          <w:szCs w:val="31"/>
          <w:color w:val="auto"/>
        </w:rPr>
        <w:t xml:space="preserve"> 日发布的《关于印发〈资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ind w:left="360"/>
        <w:spacing w:after="0" w:line="388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产评估准则</w:t>
      </w:r>
      <w:r>
        <w:rPr>
          <w:rFonts w:ascii="Arial" w:cs="Arial" w:eastAsia="Arial" w:hAnsi="Arial"/>
          <w:sz w:val="32"/>
          <w:szCs w:val="32"/>
          <w:color w:val="auto"/>
        </w:rPr>
        <w:t>——</w:t>
      </w:r>
      <w:r>
        <w:rPr>
          <w:rFonts w:ascii="宋体" w:cs="宋体" w:eastAsia="宋体" w:hAnsi="宋体"/>
          <w:sz w:val="32"/>
          <w:szCs w:val="32"/>
          <w:color w:val="auto"/>
        </w:rPr>
        <w:t>利用专家工作〉的通知》（中评协〔</w:t>
      </w:r>
      <w:r>
        <w:rPr>
          <w:rFonts w:ascii="仿宋" w:cs="仿宋" w:eastAsia="仿宋" w:hAnsi="仿宋"/>
          <w:sz w:val="32"/>
          <w:szCs w:val="32"/>
          <w:color w:val="auto"/>
        </w:rPr>
        <w:t>2012</w:t>
      </w:r>
      <w:r>
        <w:rPr>
          <w:rFonts w:ascii="宋体" w:cs="宋体" w:eastAsia="宋体" w:hAnsi="宋体"/>
          <w:sz w:val="32"/>
          <w:szCs w:val="32"/>
          <w:color w:val="auto"/>
        </w:rPr>
        <w:t>〕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947" w:gutter="0" w:footer="0" w:header="0"/>
        </w:sectPr>
      </w:pPr>
    </w:p>
    <w:bookmarkStart w:id="7" w:name="page8"/>
    <w:bookmarkEnd w:id="7"/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920" w:hanging="560"/>
        <w:spacing w:after="0" w:line="354" w:lineRule="exact"/>
        <w:tabs>
          <w:tab w:leader="none" w:pos="920" w:val="left"/>
        </w:tabs>
        <w:numPr>
          <w:ilvl w:val="0"/>
          <w:numId w:val="1"/>
        </w:numPr>
        <w:rPr>
          <w:rFonts w:ascii="仿宋" w:cs="仿宋" w:eastAsia="仿宋" w:hAnsi="仿宋"/>
          <w:sz w:val="31"/>
          <w:szCs w:val="31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号）同时废止。</w:t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"/>
      <w:numFmt w:val="decimal"/>
      <w:start w:val="244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2017-09-14T09:00:14Z</dcterms:created>
  <dcterms:modified xsi:type="dcterms:W3CDTF">2017-09-14T09:00:14Z</dcterms:modified>
</cp:coreProperties>
</file>