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104"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附件</w:t>
      </w:r>
    </w:p>
    <w:p>
      <w:pPr>
        <w:spacing w:after="0" w:line="327" w:lineRule="exact"/>
        <w:rPr>
          <w:sz w:val="24"/>
          <w:szCs w:val="24"/>
          <w:color w:val="auto"/>
        </w:rPr>
      </w:pPr>
    </w:p>
    <w:p>
      <w:pPr>
        <w:jc w:val="center"/>
        <w:ind w:right="6"/>
        <w:spacing w:after="0" w:line="534" w:lineRule="exact"/>
        <w:rPr>
          <w:sz w:val="20"/>
          <w:szCs w:val="20"/>
          <w:color w:val="auto"/>
        </w:rPr>
      </w:pPr>
      <w:r>
        <w:rPr>
          <w:rFonts w:ascii="宋体" w:cs="宋体" w:eastAsia="宋体" w:hAnsi="宋体"/>
          <w:sz w:val="44"/>
          <w:szCs w:val="44"/>
          <w:b w:val="1"/>
          <w:bCs w:val="1"/>
          <w:color w:val="auto"/>
        </w:rPr>
        <w:t>资产评估执业准则</w:t>
      </w:r>
      <w:r>
        <w:rPr>
          <w:rFonts w:ascii="Arial" w:cs="Arial" w:eastAsia="Arial" w:hAnsi="Arial"/>
          <w:sz w:val="44"/>
          <w:szCs w:val="44"/>
          <w:b w:val="1"/>
          <w:bCs w:val="1"/>
          <w:color w:val="auto"/>
        </w:rPr>
        <w:t>——</w:t>
      </w:r>
      <w:r>
        <w:rPr>
          <w:rFonts w:ascii="宋体" w:cs="宋体" w:eastAsia="宋体" w:hAnsi="宋体"/>
          <w:sz w:val="44"/>
          <w:szCs w:val="44"/>
          <w:b w:val="1"/>
          <w:bCs w:val="1"/>
          <w:color w:val="auto"/>
        </w:rPr>
        <w:t>无形资产</w:t>
      </w:r>
    </w:p>
    <w:p>
      <w:pPr>
        <w:spacing w:after="0" w:line="200" w:lineRule="exact"/>
        <w:rPr>
          <w:sz w:val="24"/>
          <w:szCs w:val="24"/>
          <w:color w:val="auto"/>
        </w:rPr>
      </w:pPr>
    </w:p>
    <w:p>
      <w:pPr>
        <w:spacing w:after="0" w:line="291" w:lineRule="exact"/>
        <w:rPr>
          <w:sz w:val="24"/>
          <w:szCs w:val="24"/>
          <w:color w:val="auto"/>
        </w:rPr>
      </w:pPr>
    </w:p>
    <w:p>
      <w:pPr>
        <w:jc w:val="center"/>
        <w:ind w:left="3200"/>
        <w:spacing w:after="0" w:line="366" w:lineRule="exact"/>
        <w:tabs>
          <w:tab w:leader="none" w:pos="300" w:val="left"/>
        </w:tabs>
        <w:rPr>
          <w:sz w:val="20"/>
          <w:szCs w:val="20"/>
          <w:color w:val="auto"/>
        </w:rPr>
      </w:pPr>
      <w:r>
        <w:rPr>
          <w:rFonts w:ascii="宋体" w:cs="宋体" w:eastAsia="宋体" w:hAnsi="宋体"/>
          <w:sz w:val="32"/>
          <w:szCs w:val="32"/>
          <w:color w:val="auto"/>
        </w:rPr>
        <w:t>第一章</w:t>
        <w:tab/>
        <w:t>总则</w:t>
      </w:r>
    </w:p>
    <w:p>
      <w:pPr>
        <w:spacing w:after="0" w:line="200" w:lineRule="exact"/>
        <w:rPr>
          <w:sz w:val="24"/>
          <w:szCs w:val="24"/>
          <w:color w:val="auto"/>
        </w:rPr>
      </w:pPr>
    </w:p>
    <w:p>
      <w:pPr>
        <w:spacing w:after="0" w:line="215" w:lineRule="exact"/>
        <w:rPr>
          <w:sz w:val="24"/>
          <w:szCs w:val="24"/>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第一条</w:t>
      </w:r>
      <w:r>
        <w:rPr>
          <w:sz w:val="20"/>
          <w:szCs w:val="20"/>
          <w:color w:val="auto"/>
        </w:rPr>
        <w:tab/>
      </w:r>
      <w:r>
        <w:rPr>
          <w:rFonts w:ascii="宋体" w:cs="宋体" w:eastAsia="宋体" w:hAnsi="宋体"/>
          <w:sz w:val="32"/>
          <w:szCs w:val="32"/>
          <w:color w:val="auto"/>
        </w:rPr>
        <w:t>为规范无形资产评估行为，保护资产评估当事</w:t>
      </w:r>
    </w:p>
    <w:p>
      <w:pPr>
        <w:spacing w:after="0" w:line="260"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人合法权益和公共利益，根据《资产评估基本准则》制定本</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准则。</w:t>
      </w:r>
    </w:p>
    <w:p>
      <w:pPr>
        <w:spacing w:after="0" w:line="259" w:lineRule="exact"/>
        <w:rPr>
          <w:sz w:val="24"/>
          <w:szCs w:val="24"/>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第二条</w:t>
      </w:r>
      <w:r>
        <w:rPr>
          <w:sz w:val="20"/>
          <w:szCs w:val="20"/>
          <w:color w:val="auto"/>
        </w:rPr>
        <w:tab/>
      </w:r>
      <w:r>
        <w:rPr>
          <w:rFonts w:ascii="宋体" w:cs="宋体" w:eastAsia="宋体" w:hAnsi="宋体"/>
          <w:sz w:val="32"/>
          <w:szCs w:val="32"/>
          <w:color w:val="auto"/>
        </w:rPr>
        <w:t>本准则所称无形资产，是指特定主体拥有或者</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控制的，不具有实物形态，能持续发挥作用并且能带来经济</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利益的资源。</w:t>
      </w:r>
    </w:p>
    <w:p>
      <w:pPr>
        <w:spacing w:after="0" w:line="259" w:lineRule="exact"/>
        <w:rPr>
          <w:sz w:val="24"/>
          <w:szCs w:val="24"/>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第三条</w:t>
      </w:r>
      <w:r>
        <w:rPr>
          <w:sz w:val="20"/>
          <w:szCs w:val="20"/>
          <w:color w:val="auto"/>
        </w:rPr>
        <w:tab/>
      </w:r>
      <w:r>
        <w:rPr>
          <w:rFonts w:ascii="宋体" w:cs="宋体" w:eastAsia="宋体" w:hAnsi="宋体"/>
          <w:sz w:val="32"/>
          <w:szCs w:val="32"/>
          <w:color w:val="auto"/>
        </w:rPr>
        <w:t>本准则所称无形资产评估，是指资产评估机构</w:t>
      </w:r>
    </w:p>
    <w:p>
      <w:pPr>
        <w:spacing w:after="0" w:line="271" w:lineRule="exact"/>
        <w:rPr>
          <w:sz w:val="24"/>
          <w:szCs w:val="24"/>
          <w:color w:val="auto"/>
        </w:rPr>
      </w:pPr>
    </w:p>
    <w:p>
      <w:pPr>
        <w:ind w:left="360"/>
        <w:spacing w:after="0" w:line="354" w:lineRule="exact"/>
        <w:rPr>
          <w:sz w:val="20"/>
          <w:szCs w:val="20"/>
          <w:color w:val="auto"/>
        </w:rPr>
      </w:pPr>
      <w:r>
        <w:rPr>
          <w:rFonts w:ascii="宋体" w:cs="宋体" w:eastAsia="宋体" w:hAnsi="宋体"/>
          <w:sz w:val="31"/>
          <w:szCs w:val="31"/>
          <w:color w:val="auto"/>
        </w:rPr>
        <w:t>及其资产评估专业人员遵守法律、行政法规和资产评估准则，</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根据委托对评估基准日特定目的下的无形资产价值进行评</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定和估算，并出具资产评估报告的专业服务行为。</w:t>
      </w:r>
    </w:p>
    <w:p>
      <w:pPr>
        <w:spacing w:after="0" w:line="259" w:lineRule="exact"/>
        <w:rPr>
          <w:sz w:val="24"/>
          <w:szCs w:val="24"/>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第四条</w:t>
      </w:r>
      <w:r>
        <w:rPr>
          <w:sz w:val="20"/>
          <w:szCs w:val="20"/>
          <w:color w:val="auto"/>
        </w:rPr>
        <w:tab/>
      </w:r>
      <w:r>
        <w:rPr>
          <w:rFonts w:ascii="宋体" w:cs="宋体" w:eastAsia="宋体" w:hAnsi="宋体"/>
          <w:sz w:val="32"/>
          <w:szCs w:val="32"/>
          <w:color w:val="auto"/>
        </w:rPr>
        <w:t>涉及土地使用权、矿业权、水域使用权等的评</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估另行规范。</w:t>
      </w:r>
    </w:p>
    <w:p>
      <w:pPr>
        <w:spacing w:after="0" w:line="260" w:lineRule="exact"/>
        <w:rPr>
          <w:sz w:val="24"/>
          <w:szCs w:val="24"/>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第五条</w:t>
      </w:r>
      <w:r>
        <w:rPr>
          <w:sz w:val="20"/>
          <w:szCs w:val="20"/>
          <w:color w:val="auto"/>
        </w:rPr>
        <w:tab/>
      </w:r>
      <w:r>
        <w:rPr>
          <w:rFonts w:ascii="宋体" w:cs="宋体" w:eastAsia="宋体" w:hAnsi="宋体"/>
          <w:sz w:val="32"/>
          <w:szCs w:val="32"/>
          <w:color w:val="auto"/>
        </w:rPr>
        <w:t>执行无形资产评估业务，应当遵守本准则。</w:t>
      </w:r>
    </w:p>
    <w:p>
      <w:pPr>
        <w:spacing w:after="0" w:line="200" w:lineRule="exact"/>
        <w:rPr>
          <w:sz w:val="24"/>
          <w:szCs w:val="24"/>
          <w:color w:val="auto"/>
        </w:rPr>
      </w:pPr>
    </w:p>
    <w:p>
      <w:pPr>
        <w:spacing w:after="0" w:line="215" w:lineRule="exact"/>
        <w:rPr>
          <w:sz w:val="24"/>
          <w:szCs w:val="24"/>
          <w:color w:val="auto"/>
        </w:rPr>
      </w:pPr>
    </w:p>
    <w:p>
      <w:pPr>
        <w:jc w:val="center"/>
        <w:ind w:left="2880"/>
        <w:spacing w:after="0" w:line="366" w:lineRule="exact"/>
        <w:tabs>
          <w:tab w:leader="none" w:pos="300" w:val="left"/>
        </w:tabs>
        <w:rPr>
          <w:sz w:val="20"/>
          <w:szCs w:val="20"/>
          <w:color w:val="auto"/>
        </w:rPr>
      </w:pPr>
      <w:r>
        <w:rPr>
          <w:rFonts w:ascii="宋体" w:cs="宋体" w:eastAsia="宋体" w:hAnsi="宋体"/>
          <w:sz w:val="32"/>
          <w:szCs w:val="32"/>
          <w:color w:val="auto"/>
        </w:rPr>
        <w:t>第二章</w:t>
        <w:tab/>
        <w:t>基本遵循</w:t>
      </w:r>
    </w:p>
    <w:p>
      <w:pPr>
        <w:spacing w:after="0" w:line="200" w:lineRule="exact"/>
        <w:rPr>
          <w:sz w:val="24"/>
          <w:szCs w:val="24"/>
          <w:color w:val="auto"/>
        </w:rPr>
      </w:pPr>
    </w:p>
    <w:p>
      <w:pPr>
        <w:spacing w:after="0" w:line="215" w:lineRule="exact"/>
        <w:rPr>
          <w:sz w:val="24"/>
          <w:szCs w:val="24"/>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第六条</w:t>
      </w:r>
      <w:r>
        <w:rPr>
          <w:sz w:val="20"/>
          <w:szCs w:val="20"/>
          <w:color w:val="auto"/>
        </w:rPr>
        <w:tab/>
      </w:r>
      <w:r>
        <w:rPr>
          <w:rFonts w:ascii="宋体" w:cs="宋体" w:eastAsia="宋体" w:hAnsi="宋体"/>
          <w:sz w:val="32"/>
          <w:szCs w:val="32"/>
          <w:color w:val="auto"/>
        </w:rPr>
        <w:t>资产评估机构及其资产评估专业人员开展无</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形资产评估业务，应当遵守法律、行政法规的规定，坚持独</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立、客观、公正的原则，诚实守信，勤勉尽责，谨慎从业，</w:t>
      </w:r>
    </w:p>
    <w:p>
      <w:pPr>
        <w:sectPr>
          <w:pgSz w:w="11900" w:h="16838" w:orient="portrait"/>
          <w:cols w:equalWidth="0" w:num="1">
            <w:col w:w="9026"/>
          </w:cols>
          <w:pgMar w:left="1440" w:top="1440" w:right="1440" w:bottom="1440" w:gutter="0" w:footer="0" w:header="0"/>
        </w:sectPr>
      </w:pPr>
    </w:p>
    <w:bookmarkStart w:id="1" w:name="page2"/>
    <w:bookmarkEnd w:id="1"/>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遵守职业道德规范，自觉维护职业形象，不得从事损害职业</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形象的活动。</w:t>
      </w:r>
    </w:p>
    <w:p>
      <w:pPr>
        <w:spacing w:after="0" w:line="259" w:lineRule="exact"/>
        <w:rPr>
          <w:sz w:val="20"/>
          <w:szCs w:val="20"/>
          <w:color w:val="auto"/>
        </w:rPr>
      </w:pPr>
    </w:p>
    <w:p>
      <w:pPr>
        <w:jc w:val="center"/>
        <w:ind w:right="-953"/>
        <w:spacing w:after="0" w:line="366" w:lineRule="exact"/>
        <w:tabs>
          <w:tab w:leader="none" w:pos="320" w:val="left"/>
        </w:tabs>
        <w:rPr>
          <w:sz w:val="20"/>
          <w:szCs w:val="20"/>
          <w:color w:val="auto"/>
        </w:rPr>
      </w:pPr>
      <w:r>
        <w:rPr>
          <w:rFonts w:ascii="宋体" w:cs="宋体" w:eastAsia="宋体" w:hAnsi="宋体"/>
          <w:sz w:val="32"/>
          <w:szCs w:val="32"/>
          <w:b w:val="1"/>
          <w:bCs w:val="1"/>
          <w:color w:val="auto"/>
        </w:rPr>
        <w:t>第七条</w:t>
      </w:r>
      <w:r>
        <w:rPr>
          <w:sz w:val="20"/>
          <w:szCs w:val="20"/>
          <w:color w:val="auto"/>
        </w:rPr>
        <w:tab/>
      </w:r>
      <w:r>
        <w:rPr>
          <w:rFonts w:ascii="宋体" w:cs="宋体" w:eastAsia="宋体" w:hAnsi="宋体"/>
          <w:sz w:val="32"/>
          <w:szCs w:val="32"/>
          <w:color w:val="auto"/>
        </w:rPr>
        <w:t>资产评估机构及其资产评估专业人员开展无</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形资产评估业务，应当独立进行分析和估算并形成专业意见，</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拒绝委托人或者其他相关当事人的干预，不得直接以预先设</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定的价值作为评估结论。</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 xml:space="preserve">第八条 </w:t>
      </w:r>
      <w:r>
        <w:rPr>
          <w:rFonts w:ascii="宋体" w:cs="宋体" w:eastAsia="宋体" w:hAnsi="宋体"/>
          <w:sz w:val="32"/>
          <w:szCs w:val="32"/>
          <w:color w:val="auto"/>
        </w:rPr>
        <w:t>执行无形资产评估业务，应当具备无形资产评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估的专业知识和实践经验，能够胜任所执行的无形资产评估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业务。</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执行某项特定业务缺乏特定的专业知识和经验时，应当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采取弥补措施，包括利用专家工作及相关报告等。</w:t>
      </w:r>
    </w:p>
    <w:p>
      <w:pPr>
        <w:spacing w:after="0" w:line="259" w:lineRule="exact"/>
        <w:rPr>
          <w:sz w:val="20"/>
          <w:szCs w:val="20"/>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第九条</w:t>
      </w:r>
      <w:r>
        <w:rPr>
          <w:sz w:val="20"/>
          <w:szCs w:val="20"/>
          <w:color w:val="auto"/>
        </w:rPr>
        <w:tab/>
      </w:r>
      <w:r>
        <w:rPr>
          <w:rFonts w:ascii="宋体" w:cs="宋体" w:eastAsia="宋体" w:hAnsi="宋体"/>
          <w:sz w:val="32"/>
          <w:szCs w:val="32"/>
          <w:color w:val="auto"/>
        </w:rPr>
        <w:t>执行企业价值评估中的无形资产评估业务，应</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当了解在对持续经营前提下的企业价值进行评估时，无形资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产作为企业资产组成部分的价值可能有别于作为单项资产</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的价值，其价值取决于它对企业价值的贡献程度。</w:t>
      </w:r>
    </w:p>
    <w:p>
      <w:pPr>
        <w:spacing w:after="0" w:line="259" w:lineRule="exact"/>
        <w:rPr>
          <w:sz w:val="20"/>
          <w:szCs w:val="20"/>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第十条</w:t>
      </w:r>
      <w:r>
        <w:rPr>
          <w:sz w:val="20"/>
          <w:szCs w:val="20"/>
          <w:color w:val="auto"/>
        </w:rPr>
        <w:tab/>
      </w:r>
      <w:r>
        <w:rPr>
          <w:rFonts w:ascii="宋体" w:cs="宋体" w:eastAsia="宋体" w:hAnsi="宋体"/>
          <w:sz w:val="32"/>
          <w:szCs w:val="32"/>
          <w:color w:val="auto"/>
        </w:rPr>
        <w:t>执行无形资产评估业务，应当根据评估业务具</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体情况，对评估对象进行现场调查，收集权属证明、财务会</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计信息和其他资料并进行核查验证、分析整理。</w:t>
      </w:r>
    </w:p>
    <w:p>
      <w:pPr>
        <w:spacing w:after="0" w:line="259"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第十一条</w:t>
      </w:r>
      <w:r>
        <w:rPr>
          <w:sz w:val="20"/>
          <w:szCs w:val="20"/>
          <w:color w:val="auto"/>
        </w:rPr>
        <w:tab/>
      </w:r>
      <w:r>
        <w:rPr>
          <w:rFonts w:ascii="宋体" w:cs="宋体" w:eastAsia="宋体" w:hAnsi="宋体"/>
          <w:sz w:val="32"/>
          <w:szCs w:val="32"/>
          <w:color w:val="auto"/>
        </w:rPr>
        <w:t>执行无形资产评估业务，应当合理使用评估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假设和限制条件。</w:t>
      </w:r>
    </w:p>
    <w:p>
      <w:pPr>
        <w:spacing w:after="0" w:line="200" w:lineRule="exact"/>
        <w:rPr>
          <w:sz w:val="20"/>
          <w:szCs w:val="20"/>
          <w:color w:val="auto"/>
        </w:rPr>
      </w:pPr>
    </w:p>
    <w:p>
      <w:pPr>
        <w:spacing w:after="0" w:line="215" w:lineRule="exact"/>
        <w:rPr>
          <w:sz w:val="20"/>
          <w:szCs w:val="20"/>
          <w:color w:val="auto"/>
        </w:rPr>
      </w:pPr>
    </w:p>
    <w:p>
      <w:pPr>
        <w:jc w:val="center"/>
        <w:ind w:left="2880"/>
        <w:spacing w:after="0" w:line="366" w:lineRule="exact"/>
        <w:tabs>
          <w:tab w:leader="none" w:pos="300" w:val="left"/>
        </w:tabs>
        <w:rPr>
          <w:sz w:val="20"/>
          <w:szCs w:val="20"/>
          <w:color w:val="auto"/>
        </w:rPr>
      </w:pPr>
      <w:r>
        <w:rPr>
          <w:rFonts w:ascii="宋体" w:cs="宋体" w:eastAsia="宋体" w:hAnsi="宋体"/>
          <w:sz w:val="32"/>
          <w:szCs w:val="32"/>
          <w:color w:val="auto"/>
        </w:rPr>
        <w:t>第三章</w:t>
        <w:tab/>
        <w:t>评估对象</w:t>
      </w:r>
    </w:p>
    <w:p>
      <w:pPr>
        <w:sectPr>
          <w:pgSz w:w="11900" w:h="16838" w:orient="portrait"/>
          <w:cols w:equalWidth="0" w:num="1">
            <w:col w:w="9026"/>
          </w:cols>
          <w:pgMar w:left="1440" w:top="1440" w:right="1440" w:bottom="1440" w:gutter="0" w:footer="0" w:header="0"/>
        </w:sectPr>
      </w:pPr>
    </w:p>
    <w:bookmarkStart w:id="2" w:name="page3"/>
    <w:bookmarkEnd w:id="2"/>
    <w:p>
      <w:pPr>
        <w:spacing w:after="0" w:line="104"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第十二条</w:t>
      </w:r>
      <w:r>
        <w:rPr>
          <w:sz w:val="20"/>
          <w:szCs w:val="20"/>
          <w:color w:val="auto"/>
        </w:rPr>
        <w:tab/>
      </w:r>
      <w:r>
        <w:rPr>
          <w:rFonts w:ascii="宋体" w:cs="宋体" w:eastAsia="宋体" w:hAnsi="宋体"/>
          <w:sz w:val="32"/>
          <w:szCs w:val="32"/>
          <w:color w:val="auto"/>
        </w:rPr>
        <w:t>执行无形资产评估业务，应当要求委托人明</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确评估对象，关注评估对象的权利状况及法律、经济、技术</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等具体特征。</w:t>
      </w:r>
    </w:p>
    <w:p>
      <w:pPr>
        <w:spacing w:after="0" w:line="259"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第十三条</w:t>
      </w:r>
      <w:r>
        <w:rPr>
          <w:sz w:val="20"/>
          <w:szCs w:val="20"/>
          <w:color w:val="auto"/>
        </w:rPr>
        <w:tab/>
      </w:r>
      <w:r>
        <w:rPr>
          <w:rFonts w:ascii="宋体" w:cs="宋体" w:eastAsia="宋体" w:hAnsi="宋体"/>
          <w:sz w:val="32"/>
          <w:szCs w:val="32"/>
          <w:color w:val="auto"/>
        </w:rPr>
        <w:t>执行无形资产评估业务，应当根据具体经济</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行为，谨慎区分可辨认无形资产和不可辨认无形资产，单项</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无形资产和无形资产组合。</w:t>
      </w:r>
    </w:p>
    <w:p>
      <w:pPr>
        <w:spacing w:after="0" w:line="259"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第十四条</w:t>
      </w:r>
      <w:r>
        <w:rPr>
          <w:sz w:val="20"/>
          <w:szCs w:val="20"/>
          <w:color w:val="auto"/>
        </w:rPr>
        <w:tab/>
      </w:r>
      <w:r>
        <w:rPr>
          <w:rFonts w:ascii="宋体" w:cs="宋体" w:eastAsia="宋体" w:hAnsi="宋体"/>
          <w:sz w:val="32"/>
          <w:szCs w:val="32"/>
          <w:color w:val="auto"/>
        </w:rPr>
        <w:t>可辨认无形资产包括专利权、商标权、著作</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权、专有技术、销售网络、客户关系、特许经营权、合同权</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益、域名等。不可辨认无形资产是指商誉。</w:t>
      </w:r>
    </w:p>
    <w:p>
      <w:pPr>
        <w:spacing w:after="0" w:line="259"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第十五条</w:t>
      </w:r>
      <w:r>
        <w:rPr>
          <w:sz w:val="20"/>
          <w:szCs w:val="20"/>
          <w:color w:val="auto"/>
        </w:rPr>
        <w:tab/>
      </w:r>
      <w:r>
        <w:rPr>
          <w:rFonts w:ascii="宋体" w:cs="宋体" w:eastAsia="宋体" w:hAnsi="宋体"/>
          <w:sz w:val="32"/>
          <w:szCs w:val="32"/>
          <w:color w:val="auto"/>
        </w:rPr>
        <w:t>执行无形资产评估业务，应当要求委托人根</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据评估对象的具体情况与评估目的，对无形资产进行合理的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分离或者合并，恰当进行单项无形资产或者无形资产组合的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评估。</w:t>
      </w:r>
    </w:p>
    <w:p>
      <w:pPr>
        <w:spacing w:after="0" w:line="307" w:lineRule="exact"/>
        <w:rPr>
          <w:sz w:val="20"/>
          <w:szCs w:val="20"/>
          <w:color w:val="auto"/>
        </w:rPr>
      </w:pPr>
    </w:p>
    <w:p>
      <w:pPr>
        <w:ind w:left="360" w:right="206" w:firstLine="643"/>
        <w:spacing w:after="0" w:line="522" w:lineRule="exact"/>
        <w:rPr>
          <w:sz w:val="20"/>
          <w:szCs w:val="20"/>
          <w:color w:val="auto"/>
        </w:rPr>
      </w:pPr>
      <w:r>
        <w:rPr>
          <w:rFonts w:ascii="宋体" w:cs="宋体" w:eastAsia="宋体" w:hAnsi="宋体"/>
          <w:sz w:val="32"/>
          <w:szCs w:val="32"/>
          <w:b w:val="1"/>
          <w:bCs w:val="1"/>
          <w:color w:val="auto"/>
        </w:rPr>
        <w:t xml:space="preserve">第十六条 </w:t>
      </w:r>
      <w:r>
        <w:rPr>
          <w:rFonts w:ascii="宋体" w:cs="宋体" w:eastAsia="宋体" w:hAnsi="宋体"/>
          <w:sz w:val="32"/>
          <w:szCs w:val="32"/>
          <w:color w:val="auto"/>
        </w:rPr>
        <w:t>执行无形资产评估业务，通常关注评估对象的产权因素、获利能力、成本因素、市场因素、有效期限、法律保护、风险因素等相关因素。</w:t>
      </w:r>
    </w:p>
    <w:p>
      <w:pPr>
        <w:spacing w:after="0" w:line="200" w:lineRule="exact"/>
        <w:rPr>
          <w:sz w:val="20"/>
          <w:szCs w:val="20"/>
          <w:color w:val="auto"/>
        </w:rPr>
      </w:pPr>
    </w:p>
    <w:p>
      <w:pPr>
        <w:spacing w:after="0" w:line="216" w:lineRule="exact"/>
        <w:rPr>
          <w:sz w:val="20"/>
          <w:szCs w:val="20"/>
          <w:color w:val="auto"/>
        </w:rPr>
      </w:pPr>
    </w:p>
    <w:p>
      <w:pPr>
        <w:jc w:val="center"/>
        <w:ind w:left="2880"/>
        <w:spacing w:after="0" w:line="366" w:lineRule="exact"/>
        <w:tabs>
          <w:tab w:leader="none" w:pos="300" w:val="left"/>
        </w:tabs>
        <w:rPr>
          <w:sz w:val="20"/>
          <w:szCs w:val="20"/>
          <w:color w:val="auto"/>
        </w:rPr>
      </w:pPr>
      <w:r>
        <w:rPr>
          <w:rFonts w:ascii="宋体" w:cs="宋体" w:eastAsia="宋体" w:hAnsi="宋体"/>
          <w:sz w:val="32"/>
          <w:szCs w:val="32"/>
          <w:color w:val="auto"/>
        </w:rPr>
        <w:t>第四章</w:t>
        <w:tab/>
        <w:t>操作要求</w:t>
      </w:r>
    </w:p>
    <w:p>
      <w:pPr>
        <w:spacing w:after="0" w:line="200" w:lineRule="exact"/>
        <w:rPr>
          <w:sz w:val="20"/>
          <w:szCs w:val="20"/>
          <w:color w:val="auto"/>
        </w:rPr>
      </w:pPr>
    </w:p>
    <w:p>
      <w:pPr>
        <w:spacing w:after="0" w:line="226" w:lineRule="exact"/>
        <w:rPr>
          <w:sz w:val="20"/>
          <w:szCs w:val="20"/>
          <w:color w:val="auto"/>
        </w:rPr>
      </w:pPr>
    </w:p>
    <w:p>
      <w:pPr>
        <w:ind w:left="1000"/>
        <w:spacing w:after="0" w:line="354" w:lineRule="exact"/>
        <w:tabs>
          <w:tab w:leader="none" w:pos="2600" w:val="left"/>
        </w:tabs>
        <w:rPr>
          <w:sz w:val="20"/>
          <w:szCs w:val="20"/>
          <w:color w:val="auto"/>
        </w:rPr>
      </w:pPr>
      <w:r>
        <w:rPr>
          <w:rFonts w:ascii="宋体" w:cs="宋体" w:eastAsia="宋体" w:hAnsi="宋体"/>
          <w:sz w:val="31"/>
          <w:szCs w:val="31"/>
          <w:b w:val="1"/>
          <w:bCs w:val="1"/>
          <w:color w:val="auto"/>
        </w:rPr>
        <w:t>第十七条</w:t>
      </w:r>
      <w:r>
        <w:rPr>
          <w:sz w:val="20"/>
          <w:szCs w:val="20"/>
          <w:color w:val="auto"/>
        </w:rPr>
        <w:tab/>
      </w:r>
      <w:r>
        <w:rPr>
          <w:rFonts w:ascii="宋体" w:cs="宋体" w:eastAsia="宋体" w:hAnsi="宋体"/>
          <w:sz w:val="31"/>
          <w:szCs w:val="31"/>
          <w:color w:val="auto"/>
        </w:rPr>
        <w:t>执行无形资产评估业务，应当明确评估对象、</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评估目的、评估基准日、评估范围、价值类型和资产评估报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告使用人。</w:t>
      </w:r>
    </w:p>
    <w:p>
      <w:pPr>
        <w:spacing w:after="0" w:line="270" w:lineRule="exact"/>
        <w:rPr>
          <w:sz w:val="20"/>
          <w:szCs w:val="20"/>
          <w:color w:val="auto"/>
        </w:rPr>
      </w:pPr>
    </w:p>
    <w:p>
      <w:pPr>
        <w:ind w:left="1000"/>
        <w:spacing w:after="0" w:line="354" w:lineRule="exact"/>
        <w:tabs>
          <w:tab w:leader="none" w:pos="2600" w:val="left"/>
        </w:tabs>
        <w:rPr>
          <w:sz w:val="20"/>
          <w:szCs w:val="20"/>
          <w:color w:val="auto"/>
        </w:rPr>
      </w:pPr>
      <w:r>
        <w:rPr>
          <w:rFonts w:ascii="宋体" w:cs="宋体" w:eastAsia="宋体" w:hAnsi="宋体"/>
          <w:sz w:val="31"/>
          <w:szCs w:val="31"/>
          <w:b w:val="1"/>
          <w:bCs w:val="1"/>
          <w:color w:val="auto"/>
        </w:rPr>
        <w:t>第十八条</w:t>
      </w:r>
      <w:r>
        <w:rPr>
          <w:sz w:val="20"/>
          <w:szCs w:val="20"/>
          <w:color w:val="auto"/>
        </w:rPr>
        <w:tab/>
      </w:r>
      <w:r>
        <w:rPr>
          <w:rFonts w:ascii="宋体" w:cs="宋体" w:eastAsia="宋体" w:hAnsi="宋体"/>
          <w:sz w:val="31"/>
          <w:szCs w:val="31"/>
          <w:color w:val="auto"/>
        </w:rPr>
        <w:t>执行无形资产评估业务，通常关注以下事项：</w:t>
      </w:r>
    </w:p>
    <w:p>
      <w:pPr>
        <w:sectPr>
          <w:pgSz w:w="11900" w:h="16838" w:orient="portrait"/>
          <w:cols w:equalWidth="0" w:num="1">
            <w:col w:w="9026"/>
          </w:cols>
          <w:pgMar w:left="1440" w:top="1440" w:right="1440" w:bottom="1440" w:gutter="0" w:footer="0" w:header="0"/>
        </w:sectPr>
      </w:pPr>
    </w:p>
    <w:bookmarkStart w:id="3" w:name="page4"/>
    <w:bookmarkEnd w:id="3"/>
    <w:p>
      <w:pPr>
        <w:spacing w:after="0" w:line="152"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（一）无形资产权利的法律文件、权属有效性文件或者其他证明资料；</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（二）无形资产持续的可辨识经济利益；</w:t>
      </w:r>
    </w:p>
    <w:p>
      <w:pPr>
        <w:spacing w:after="0" w:line="307"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（三）无形资产的性质和特点，历史取得和目前的使用状况；</w:t>
      </w:r>
    </w:p>
    <w:p>
      <w:pPr>
        <w:spacing w:after="0" w:line="309"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（四）无形资产的剩余经济寿命和法定寿命，无形资产的保护措施；</w:t>
      </w:r>
    </w:p>
    <w:p>
      <w:pPr>
        <w:spacing w:after="0" w:line="272"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（五）无形资产实施的地域范围、领域范围与获利方式；</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（六）无形资产以往的交易、质押、出资情况；</w:t>
      </w:r>
    </w:p>
    <w:p>
      <w:pPr>
        <w:spacing w:after="0" w:line="307"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（七）无形资产实施过程中所受到的法律、行政法规或者其他限制；</w:t>
      </w:r>
    </w:p>
    <w:p>
      <w:pPr>
        <w:spacing w:after="0" w:line="261"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（八）类似无形资产的市场价格信息；</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（九）宏观经济环境；</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（十）行业状况及发展前景；</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（十一）企业状况及发展前景；</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（十二）其他相关信息。</w:t>
      </w:r>
    </w:p>
    <w:p>
      <w:pPr>
        <w:spacing w:after="0" w:line="260"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第十九条</w:t>
      </w:r>
      <w:r>
        <w:rPr>
          <w:sz w:val="20"/>
          <w:szCs w:val="20"/>
          <w:color w:val="auto"/>
        </w:rPr>
        <w:tab/>
      </w:r>
      <w:r>
        <w:rPr>
          <w:rFonts w:ascii="宋体" w:cs="宋体" w:eastAsia="宋体" w:hAnsi="宋体"/>
          <w:sz w:val="32"/>
          <w:szCs w:val="32"/>
          <w:color w:val="auto"/>
        </w:rPr>
        <w:t>无形资产与其他资产共同发挥作用时，应当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分析这些资产对无形资产价值的影响。</w:t>
      </w:r>
    </w:p>
    <w:p>
      <w:pPr>
        <w:spacing w:after="0" w:line="259"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第二十条</w:t>
      </w:r>
      <w:r>
        <w:rPr>
          <w:sz w:val="20"/>
          <w:szCs w:val="20"/>
          <w:color w:val="auto"/>
        </w:rPr>
        <w:tab/>
      </w:r>
      <w:r>
        <w:rPr>
          <w:rFonts w:ascii="宋体" w:cs="宋体" w:eastAsia="宋体" w:hAnsi="宋体"/>
          <w:sz w:val="32"/>
          <w:szCs w:val="32"/>
          <w:color w:val="auto"/>
        </w:rPr>
        <w:t>执行无形资产评估业务，通常关注宏观经济</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政策、行业政策、经营条件、生产能力、市场状况等各项因</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素对无形资产效能发挥的制约，关注其对无形资产价值产生</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的影响。</w:t>
      </w:r>
    </w:p>
    <w:p>
      <w:pPr>
        <w:sectPr>
          <w:pgSz w:w="11900" w:h="16838" w:orient="portrait"/>
          <w:cols w:equalWidth="0" w:num="1">
            <w:col w:w="9026"/>
          </w:cols>
          <w:pgMar w:left="1440" w:top="1440" w:right="1440" w:bottom="1440" w:gutter="0" w:footer="0" w:header="0"/>
        </w:sectPr>
      </w:pPr>
    </w:p>
    <w:bookmarkStart w:id="4" w:name="page5"/>
    <w:bookmarkEnd w:id="4"/>
    <w:p>
      <w:pPr>
        <w:spacing w:after="0" w:line="104" w:lineRule="exact"/>
        <w:rPr>
          <w:sz w:val="20"/>
          <w:szCs w:val="20"/>
          <w:color w:val="auto"/>
        </w:rPr>
      </w:pPr>
    </w:p>
    <w:p>
      <w:pPr>
        <w:jc w:val="center"/>
        <w:ind w:left="2880"/>
        <w:spacing w:after="0" w:line="366" w:lineRule="exact"/>
        <w:tabs>
          <w:tab w:leader="none" w:pos="300" w:val="left"/>
        </w:tabs>
        <w:rPr>
          <w:sz w:val="20"/>
          <w:szCs w:val="20"/>
          <w:color w:val="auto"/>
        </w:rPr>
      </w:pPr>
      <w:r>
        <w:rPr>
          <w:rFonts w:ascii="宋体" w:cs="宋体" w:eastAsia="宋体" w:hAnsi="宋体"/>
          <w:sz w:val="32"/>
          <w:szCs w:val="32"/>
          <w:color w:val="auto"/>
        </w:rPr>
        <w:t>第五章</w:t>
        <w:tab/>
        <w:t>评估方法</w:t>
      </w:r>
    </w:p>
    <w:p>
      <w:pPr>
        <w:spacing w:after="0" w:line="200" w:lineRule="exact"/>
        <w:rPr>
          <w:sz w:val="20"/>
          <w:szCs w:val="20"/>
          <w:color w:val="auto"/>
        </w:rPr>
      </w:pPr>
    </w:p>
    <w:p>
      <w:pPr>
        <w:spacing w:after="0" w:line="215"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第二十一条</w:t>
      </w:r>
      <w:r>
        <w:rPr>
          <w:sz w:val="20"/>
          <w:szCs w:val="20"/>
          <w:color w:val="auto"/>
        </w:rPr>
        <w:tab/>
      </w:r>
      <w:r>
        <w:rPr>
          <w:rFonts w:ascii="宋体" w:cs="宋体" w:eastAsia="宋体" w:hAnsi="宋体"/>
          <w:sz w:val="32"/>
          <w:szCs w:val="32"/>
          <w:color w:val="auto"/>
        </w:rPr>
        <w:t>确定无形资产价值的评估方法包括市场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法、收益法和成本法三种基本方法及其衍生方法。</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执行无形资产评估业务，资产评估专业人员应当根据评</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估目的、评估对象、价值类型、资料收集等情况，分析上述</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三种基本方法的适用性，选择评估方法。</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第二十二条</w:t>
      </w:r>
      <w:r>
        <w:rPr>
          <w:sz w:val="20"/>
          <w:szCs w:val="20"/>
          <w:color w:val="auto"/>
        </w:rPr>
        <w:tab/>
      </w:r>
      <w:r>
        <w:rPr>
          <w:rFonts w:ascii="宋体" w:cs="宋体" w:eastAsia="宋体" w:hAnsi="宋体"/>
          <w:sz w:val="32"/>
          <w:szCs w:val="32"/>
          <w:color w:val="auto"/>
        </w:rPr>
        <w:t>采用收益法评估无形资产时应当：</w:t>
      </w:r>
    </w:p>
    <w:p>
      <w:pPr>
        <w:spacing w:after="0" w:line="307" w:lineRule="exact"/>
        <w:rPr>
          <w:sz w:val="20"/>
          <w:szCs w:val="20"/>
          <w:color w:val="auto"/>
        </w:rPr>
      </w:pPr>
    </w:p>
    <w:p>
      <w:pPr>
        <w:jc w:val="both"/>
        <w:ind w:left="360" w:right="366" w:firstLine="641"/>
        <w:spacing w:after="0" w:line="546" w:lineRule="exact"/>
        <w:rPr>
          <w:sz w:val="20"/>
          <w:szCs w:val="20"/>
          <w:color w:val="auto"/>
        </w:rPr>
      </w:pPr>
      <w:r>
        <w:rPr>
          <w:rFonts w:ascii="宋体" w:cs="宋体" w:eastAsia="宋体" w:hAnsi="宋体"/>
          <w:sz w:val="32"/>
          <w:szCs w:val="32"/>
          <w:color w:val="auto"/>
        </w:rPr>
        <w:t>（一）在获取无形资产相关信息的基础上，根据该无形资产或者类似无形资产的历史实施情况及未来应用前景，结合无形资产实施或者拟实施企业经营状况，重点分析无形资产经济收益的可预测性，考虑收益法的适用性；</w:t>
      </w:r>
    </w:p>
    <w:p>
      <w:pPr>
        <w:spacing w:after="0" w:line="312" w:lineRule="exact"/>
        <w:rPr>
          <w:sz w:val="20"/>
          <w:szCs w:val="20"/>
          <w:color w:val="auto"/>
        </w:rPr>
      </w:pPr>
    </w:p>
    <w:p>
      <w:pPr>
        <w:jc w:val="both"/>
        <w:ind w:left="360" w:right="366" w:firstLine="641"/>
        <w:spacing w:after="0" w:line="546" w:lineRule="exact"/>
        <w:rPr>
          <w:sz w:val="20"/>
          <w:szCs w:val="20"/>
          <w:color w:val="auto"/>
        </w:rPr>
      </w:pPr>
      <w:r>
        <w:rPr>
          <w:rFonts w:ascii="宋体" w:cs="宋体" w:eastAsia="宋体" w:hAnsi="宋体"/>
          <w:sz w:val="32"/>
          <w:szCs w:val="32"/>
          <w:color w:val="auto"/>
        </w:rPr>
        <w:t>（二）估算无形资产带来的预期收益，区分评估对象无形资产和其他无形资产与其他资产所获得的收益，分析与之有关的预期变动、收益期限，与收益有关的成本费用、配套资产、现金流量、风险因素；</w:t>
      </w:r>
    </w:p>
    <w:p>
      <w:pPr>
        <w:spacing w:after="0" w:line="26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（三）保持预期收益口径与折现率口径一致；</w:t>
      </w:r>
    </w:p>
    <w:p>
      <w:pPr>
        <w:spacing w:after="0" w:line="307" w:lineRule="exact"/>
        <w:rPr>
          <w:sz w:val="20"/>
          <w:szCs w:val="20"/>
          <w:color w:val="auto"/>
        </w:rPr>
      </w:pPr>
    </w:p>
    <w:p>
      <w:pPr>
        <w:jc w:val="both"/>
        <w:ind w:left="360" w:right="366" w:firstLine="641"/>
        <w:spacing w:after="0" w:line="470" w:lineRule="exact"/>
        <w:rPr>
          <w:sz w:val="20"/>
          <w:szCs w:val="20"/>
          <w:color w:val="auto"/>
        </w:rPr>
      </w:pPr>
      <w:r>
        <w:rPr>
          <w:rFonts w:ascii="宋体" w:cs="宋体" w:eastAsia="宋体" w:hAnsi="宋体"/>
          <w:sz w:val="32"/>
          <w:szCs w:val="32"/>
          <w:color w:val="auto"/>
        </w:rPr>
        <w:t>（四）根据无形资产实施过程中的风险因素及货币时间价值等因素估算折现率；</w:t>
      </w:r>
    </w:p>
    <w:p>
      <w:pPr>
        <w:spacing w:after="0" w:line="308" w:lineRule="exact"/>
        <w:rPr>
          <w:sz w:val="20"/>
          <w:szCs w:val="20"/>
          <w:color w:val="auto"/>
        </w:rPr>
      </w:pPr>
    </w:p>
    <w:p>
      <w:pPr>
        <w:jc w:val="both"/>
        <w:ind w:left="360" w:right="366" w:firstLine="641"/>
        <w:spacing w:after="0" w:line="470" w:lineRule="exact"/>
        <w:rPr>
          <w:sz w:val="20"/>
          <w:szCs w:val="20"/>
          <w:color w:val="auto"/>
        </w:rPr>
      </w:pPr>
      <w:r>
        <w:rPr>
          <w:rFonts w:ascii="宋体" w:cs="宋体" w:eastAsia="宋体" w:hAnsi="宋体"/>
          <w:sz w:val="32"/>
          <w:szCs w:val="32"/>
          <w:color w:val="auto"/>
        </w:rPr>
        <w:t>（五）综合分析无形资产的剩余经济寿命、法定寿命及其他相关因素，确定收益期限。</w:t>
      </w:r>
    </w:p>
    <w:p>
      <w:pPr>
        <w:spacing w:after="0" w:line="260"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第二十三条</w:t>
      </w:r>
      <w:r>
        <w:rPr>
          <w:sz w:val="20"/>
          <w:szCs w:val="20"/>
          <w:color w:val="auto"/>
        </w:rPr>
        <w:tab/>
      </w:r>
      <w:r>
        <w:rPr>
          <w:rFonts w:ascii="宋体" w:cs="宋体" w:eastAsia="宋体" w:hAnsi="宋体"/>
          <w:sz w:val="32"/>
          <w:szCs w:val="32"/>
          <w:color w:val="auto"/>
        </w:rPr>
        <w:t>采用市场法评估无形资产时应当：</w:t>
      </w:r>
    </w:p>
    <w:p>
      <w:pPr>
        <w:sectPr>
          <w:pgSz w:w="11900" w:h="16838" w:orient="portrait"/>
          <w:cols w:equalWidth="0" w:num="1">
            <w:col w:w="9026"/>
          </w:cols>
          <w:pgMar w:left="1440" w:top="1440" w:right="1440" w:bottom="1440" w:gutter="0" w:footer="0" w:header="0"/>
        </w:sectPr>
      </w:pPr>
    </w:p>
    <w:bookmarkStart w:id="5" w:name="page6"/>
    <w:bookmarkEnd w:id="5"/>
    <w:p>
      <w:pPr>
        <w:spacing w:after="0" w:line="116"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（一）考虑该无形资产或者类似无形资产是否存在活跃</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的市场，考虑市场法的适用性；</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（二）收集类似无形资产交易案例的市场交易价格、交</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易时间及交易条件等交易信息；</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（三）选择具有比较基础的可比无形资产交易案例；</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（四）收集评估对象近期的交易信息；</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（五）对可比交易案例和评估对象近期交易信息进行必</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要调整。</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第二十四条</w:t>
      </w:r>
      <w:r>
        <w:rPr>
          <w:sz w:val="20"/>
          <w:szCs w:val="20"/>
          <w:color w:val="auto"/>
        </w:rPr>
        <w:tab/>
      </w:r>
      <w:r>
        <w:rPr>
          <w:rFonts w:ascii="宋体" w:cs="宋体" w:eastAsia="宋体" w:hAnsi="宋体"/>
          <w:sz w:val="32"/>
          <w:szCs w:val="32"/>
          <w:color w:val="auto"/>
        </w:rPr>
        <w:t>采用成本法评估无形资产时应当：</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（一）根据无形资产形成的全部投入，考虑无形资产价</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值与成本的相关程度，考虑成本法的适用性；</w:t>
      </w:r>
    </w:p>
    <w:p>
      <w:pPr>
        <w:spacing w:after="0" w:line="271"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（二）确定无形资产的重置成本，无形资产的重置成本</w:t>
      </w:r>
    </w:p>
    <w:p>
      <w:pPr>
        <w:spacing w:after="0" w:line="270" w:lineRule="exact"/>
        <w:rPr>
          <w:sz w:val="20"/>
          <w:szCs w:val="20"/>
          <w:color w:val="auto"/>
        </w:rPr>
      </w:pPr>
    </w:p>
    <w:p>
      <w:pPr>
        <w:jc w:val="center"/>
        <w:ind w:right="3186"/>
        <w:spacing w:after="0" w:line="354" w:lineRule="exact"/>
        <w:rPr>
          <w:sz w:val="20"/>
          <w:szCs w:val="20"/>
          <w:color w:val="auto"/>
        </w:rPr>
      </w:pPr>
      <w:r>
        <w:rPr>
          <w:rFonts w:ascii="宋体" w:cs="宋体" w:eastAsia="宋体" w:hAnsi="宋体"/>
          <w:sz w:val="31"/>
          <w:szCs w:val="31"/>
          <w:color w:val="auto"/>
        </w:rPr>
        <w:t>包括合理的成本、利润和相关税费；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（三）确定无形资产贬值。</w:t>
      </w:r>
    </w:p>
    <w:p>
      <w:pPr>
        <w:spacing w:after="0" w:line="270" w:lineRule="exact"/>
        <w:rPr>
          <w:sz w:val="20"/>
          <w:szCs w:val="20"/>
          <w:color w:val="auto"/>
        </w:rPr>
      </w:pPr>
    </w:p>
    <w:p>
      <w:pPr>
        <w:ind w:left="1000"/>
        <w:spacing w:after="0" w:line="354" w:lineRule="exact"/>
        <w:tabs>
          <w:tab w:leader="none" w:pos="2920" w:val="left"/>
        </w:tabs>
        <w:rPr>
          <w:sz w:val="20"/>
          <w:szCs w:val="20"/>
          <w:color w:val="auto"/>
        </w:rPr>
      </w:pPr>
      <w:r>
        <w:rPr>
          <w:rFonts w:ascii="宋体" w:cs="宋体" w:eastAsia="宋体" w:hAnsi="宋体"/>
          <w:sz w:val="31"/>
          <w:szCs w:val="31"/>
          <w:b w:val="1"/>
          <w:bCs w:val="1"/>
          <w:color w:val="auto"/>
        </w:rPr>
        <w:t>第二十五条</w:t>
      </w:r>
      <w:r>
        <w:rPr>
          <w:sz w:val="20"/>
          <w:szCs w:val="20"/>
          <w:color w:val="auto"/>
        </w:rPr>
        <w:tab/>
      </w:r>
      <w:r>
        <w:rPr>
          <w:rFonts w:ascii="宋体" w:cs="宋体" w:eastAsia="宋体" w:hAnsi="宋体"/>
          <w:sz w:val="31"/>
          <w:szCs w:val="31"/>
          <w:color w:val="auto"/>
        </w:rPr>
        <w:t>对同一无形资产采用多种评估方法时，应</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当对所获得的各种测算结果进行分析，形成评估结论。</w:t>
      </w:r>
    </w:p>
    <w:p>
      <w:pPr>
        <w:spacing w:after="0" w:line="200" w:lineRule="exact"/>
        <w:rPr>
          <w:sz w:val="20"/>
          <w:szCs w:val="20"/>
          <w:color w:val="auto"/>
        </w:rPr>
      </w:pPr>
    </w:p>
    <w:p>
      <w:pPr>
        <w:spacing w:after="0" w:line="216" w:lineRule="exact"/>
        <w:rPr>
          <w:sz w:val="20"/>
          <w:szCs w:val="20"/>
          <w:color w:val="auto"/>
        </w:rPr>
      </w:pPr>
    </w:p>
    <w:p>
      <w:pPr>
        <w:jc w:val="center"/>
        <w:ind w:left="2880"/>
        <w:spacing w:after="0" w:line="366" w:lineRule="exact"/>
        <w:tabs>
          <w:tab w:leader="none" w:pos="300" w:val="left"/>
        </w:tabs>
        <w:rPr>
          <w:sz w:val="20"/>
          <w:szCs w:val="20"/>
          <w:color w:val="auto"/>
        </w:rPr>
      </w:pPr>
      <w:r>
        <w:rPr>
          <w:rFonts w:ascii="宋体" w:cs="宋体" w:eastAsia="宋体" w:hAnsi="宋体"/>
          <w:sz w:val="32"/>
          <w:szCs w:val="32"/>
          <w:color w:val="auto"/>
        </w:rPr>
        <w:t>第六章</w:t>
        <w:tab/>
        <w:t>披露要求</w:t>
      </w:r>
    </w:p>
    <w:p>
      <w:pPr>
        <w:spacing w:after="0" w:line="200" w:lineRule="exact"/>
        <w:rPr>
          <w:sz w:val="20"/>
          <w:szCs w:val="20"/>
          <w:color w:val="auto"/>
        </w:rPr>
      </w:pPr>
    </w:p>
    <w:p>
      <w:pPr>
        <w:spacing w:after="0" w:line="226" w:lineRule="exact"/>
        <w:rPr>
          <w:sz w:val="20"/>
          <w:szCs w:val="20"/>
          <w:color w:val="auto"/>
        </w:rPr>
      </w:pPr>
    </w:p>
    <w:p>
      <w:pPr>
        <w:ind w:left="1000"/>
        <w:spacing w:after="0" w:line="354" w:lineRule="exact"/>
        <w:tabs>
          <w:tab w:leader="none" w:pos="2920" w:val="left"/>
        </w:tabs>
        <w:rPr>
          <w:sz w:val="20"/>
          <w:szCs w:val="20"/>
          <w:color w:val="auto"/>
        </w:rPr>
      </w:pPr>
      <w:r>
        <w:rPr>
          <w:rFonts w:ascii="宋体" w:cs="宋体" w:eastAsia="宋体" w:hAnsi="宋体"/>
          <w:sz w:val="31"/>
          <w:szCs w:val="31"/>
          <w:b w:val="1"/>
          <w:bCs w:val="1"/>
          <w:color w:val="auto"/>
        </w:rPr>
        <w:t>第二十六条</w:t>
      </w:r>
      <w:r>
        <w:rPr>
          <w:sz w:val="20"/>
          <w:szCs w:val="20"/>
          <w:color w:val="auto"/>
        </w:rPr>
        <w:tab/>
      </w:r>
      <w:r>
        <w:rPr>
          <w:rFonts w:ascii="宋体" w:cs="宋体" w:eastAsia="宋体" w:hAnsi="宋体"/>
          <w:sz w:val="31"/>
          <w:szCs w:val="31"/>
          <w:color w:val="auto"/>
        </w:rPr>
        <w:t>无论单独出具无形资产评估报告，还是将</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无形资产评估作为资产评估报告的组成部分，都应当在资产</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评估报告中披露必要信息，使资产评估报告使用人能够正确</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理解评估结论。</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第二十七条</w:t>
      </w:r>
      <w:r>
        <w:rPr>
          <w:sz w:val="20"/>
          <w:szCs w:val="20"/>
          <w:color w:val="auto"/>
        </w:rPr>
        <w:tab/>
      </w:r>
      <w:r>
        <w:rPr>
          <w:rFonts w:ascii="宋体" w:cs="宋体" w:eastAsia="宋体" w:hAnsi="宋体"/>
          <w:sz w:val="32"/>
          <w:szCs w:val="32"/>
          <w:color w:val="auto"/>
        </w:rPr>
        <w:t>无形资产评估报告应当说明下列内容：</w:t>
      </w:r>
    </w:p>
    <w:p>
      <w:pPr>
        <w:sectPr>
          <w:pgSz w:w="11900" w:h="16838" w:orient="portrait"/>
          <w:cols w:equalWidth="0" w:num="1">
            <w:col w:w="9026"/>
          </w:cols>
          <w:pgMar w:left="1440" w:top="1440" w:right="1440" w:bottom="947" w:gutter="0" w:footer="0" w:header="0"/>
        </w:sectPr>
      </w:pPr>
    </w:p>
    <w:bookmarkStart w:id="6" w:name="page7"/>
    <w:bookmarkEnd w:id="6"/>
    <w:p>
      <w:pPr>
        <w:spacing w:after="0" w:line="10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（一）无形资产的性质、权利状况及限制条件；</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（二）无形资产实施的地域限制、领域限制及法律法规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限制条件；</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（三）与无形资产相关的宏观经济和行业的前景；</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（四）无形资产的历史、现实状况与发展前景；</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（五）评估依据的信息来源；</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（六）其他必要信息。</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第二十八条</w:t>
      </w:r>
      <w:r>
        <w:rPr>
          <w:sz w:val="20"/>
          <w:szCs w:val="20"/>
          <w:color w:val="auto"/>
        </w:rPr>
        <w:tab/>
      </w:r>
      <w:r>
        <w:rPr>
          <w:rFonts w:ascii="宋体" w:cs="宋体" w:eastAsia="宋体" w:hAnsi="宋体"/>
          <w:sz w:val="32"/>
          <w:szCs w:val="32"/>
          <w:color w:val="auto"/>
        </w:rPr>
        <w:t>无形资产评估报告应当说明有关评估方</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法的下列内容：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（一）评估方法的选择及其理由；</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（二）各重要参数的来源、分析、比较与测算过程；</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（三）对测算结果进行分析，形成评估结论的过程；</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（四）评估结论成立的假设前提和限制条件。</w:t>
      </w:r>
    </w:p>
    <w:p>
      <w:pPr>
        <w:spacing w:after="0" w:line="200" w:lineRule="exact"/>
        <w:rPr>
          <w:sz w:val="20"/>
          <w:szCs w:val="20"/>
          <w:color w:val="auto"/>
        </w:rPr>
      </w:pPr>
    </w:p>
    <w:p>
      <w:pPr>
        <w:spacing w:after="0" w:line="215" w:lineRule="exact"/>
        <w:rPr>
          <w:sz w:val="20"/>
          <w:szCs w:val="20"/>
          <w:color w:val="auto"/>
        </w:rPr>
      </w:pPr>
    </w:p>
    <w:p>
      <w:pPr>
        <w:jc w:val="center"/>
        <w:ind w:left="3200"/>
        <w:spacing w:after="0" w:line="366" w:lineRule="exact"/>
        <w:tabs>
          <w:tab w:leader="none" w:pos="300" w:val="left"/>
        </w:tabs>
        <w:rPr>
          <w:sz w:val="20"/>
          <w:szCs w:val="20"/>
          <w:color w:val="auto"/>
        </w:rPr>
      </w:pPr>
      <w:r>
        <w:rPr>
          <w:rFonts w:ascii="宋体" w:cs="宋体" w:eastAsia="宋体" w:hAnsi="宋体"/>
          <w:sz w:val="32"/>
          <w:szCs w:val="32"/>
          <w:color w:val="auto"/>
        </w:rPr>
        <w:t>第七章</w:t>
        <w:tab/>
        <w:t>附则</w:t>
      </w:r>
    </w:p>
    <w:p>
      <w:pPr>
        <w:spacing w:after="0" w:line="346" w:lineRule="exact"/>
        <w:rPr>
          <w:sz w:val="20"/>
          <w:szCs w:val="20"/>
          <w:color w:val="auto"/>
        </w:rPr>
      </w:pPr>
    </w:p>
    <w:p>
      <w:pPr>
        <w:ind w:left="1000"/>
        <w:spacing w:after="0" w:line="331" w:lineRule="exact"/>
        <w:tabs>
          <w:tab w:leader="none" w:pos="2920" w:val="left"/>
        </w:tabs>
        <w:rPr>
          <w:sz w:val="20"/>
          <w:szCs w:val="20"/>
          <w:color w:val="auto"/>
        </w:rPr>
      </w:pPr>
      <w:r>
        <w:rPr>
          <w:rFonts w:ascii="宋体" w:cs="宋体" w:eastAsia="宋体" w:hAnsi="宋体"/>
          <w:sz w:val="29"/>
          <w:szCs w:val="29"/>
          <w:b w:val="1"/>
          <w:bCs w:val="1"/>
          <w:color w:val="auto"/>
        </w:rPr>
        <w:t>第二十九条</w:t>
      </w:r>
      <w:r>
        <w:rPr>
          <w:sz w:val="20"/>
          <w:szCs w:val="20"/>
          <w:color w:val="auto"/>
        </w:rPr>
        <w:tab/>
      </w:r>
      <w:r>
        <w:rPr>
          <w:rFonts w:ascii="宋体" w:cs="宋体" w:eastAsia="宋体" w:hAnsi="宋体"/>
          <w:sz w:val="29"/>
          <w:szCs w:val="29"/>
          <w:color w:val="auto"/>
        </w:rPr>
        <w:t xml:space="preserve">本准则自 </w:t>
      </w:r>
      <w:r>
        <w:rPr>
          <w:rFonts w:ascii="仿宋" w:cs="仿宋" w:eastAsia="仿宋" w:hAnsi="仿宋"/>
          <w:sz w:val="29"/>
          <w:szCs w:val="29"/>
          <w:color w:val="auto"/>
        </w:rPr>
        <w:t>2017</w:t>
      </w:r>
      <w:r>
        <w:rPr>
          <w:rFonts w:ascii="宋体" w:cs="宋体" w:eastAsia="宋体" w:hAnsi="宋体"/>
          <w:sz w:val="29"/>
          <w:szCs w:val="29"/>
          <w:color w:val="auto"/>
        </w:rPr>
        <w:t xml:space="preserve"> 年 </w:t>
      </w:r>
      <w:r>
        <w:rPr>
          <w:rFonts w:ascii="仿宋" w:cs="仿宋" w:eastAsia="仿宋" w:hAnsi="仿宋"/>
          <w:sz w:val="29"/>
          <w:szCs w:val="29"/>
          <w:color w:val="auto"/>
        </w:rPr>
        <w:t>10</w:t>
      </w:r>
      <w:r>
        <w:rPr>
          <w:rFonts w:ascii="宋体" w:cs="宋体" w:eastAsia="宋体" w:hAnsi="宋体"/>
          <w:sz w:val="29"/>
          <w:szCs w:val="29"/>
          <w:color w:val="auto"/>
        </w:rPr>
        <w:t xml:space="preserve"> 月 </w:t>
      </w:r>
      <w:r>
        <w:rPr>
          <w:rFonts w:ascii="仿宋" w:cs="仿宋" w:eastAsia="仿宋" w:hAnsi="仿宋"/>
          <w:sz w:val="29"/>
          <w:szCs w:val="29"/>
          <w:color w:val="auto"/>
        </w:rPr>
        <w:t>1</w:t>
      </w:r>
      <w:r>
        <w:rPr>
          <w:rFonts w:ascii="宋体" w:cs="宋体" w:eastAsia="宋体" w:hAnsi="宋体"/>
          <w:sz w:val="29"/>
          <w:szCs w:val="29"/>
          <w:color w:val="auto"/>
        </w:rPr>
        <w:t xml:space="preserve"> 日起施行。中国</w:t>
      </w:r>
    </w:p>
    <w:p>
      <w:pPr>
        <w:spacing w:after="0" w:line="279" w:lineRule="exact"/>
        <w:rPr>
          <w:sz w:val="20"/>
          <w:szCs w:val="20"/>
          <w:color w:val="auto"/>
        </w:rPr>
      </w:pPr>
    </w:p>
    <w:p>
      <w:pPr>
        <w:ind w:left="360"/>
        <w:spacing w:after="0" w:line="343" w:lineRule="exact"/>
        <w:rPr>
          <w:sz w:val="20"/>
          <w:szCs w:val="20"/>
          <w:color w:val="auto"/>
        </w:rPr>
      </w:pPr>
      <w:r>
        <w:rPr>
          <w:rFonts w:ascii="宋体" w:cs="宋体" w:eastAsia="宋体" w:hAnsi="宋体"/>
          <w:sz w:val="30"/>
          <w:szCs w:val="30"/>
          <w:color w:val="auto"/>
        </w:rPr>
        <w:t xml:space="preserve">资产评估协会于 </w:t>
      </w:r>
      <w:r>
        <w:rPr>
          <w:rFonts w:ascii="仿宋" w:cs="仿宋" w:eastAsia="仿宋" w:hAnsi="仿宋"/>
          <w:sz w:val="30"/>
          <w:szCs w:val="30"/>
          <w:color w:val="auto"/>
        </w:rPr>
        <w:t>2008</w:t>
      </w:r>
      <w:r>
        <w:rPr>
          <w:rFonts w:ascii="宋体" w:cs="宋体" w:eastAsia="宋体" w:hAnsi="宋体"/>
          <w:sz w:val="30"/>
          <w:szCs w:val="30"/>
          <w:color w:val="auto"/>
        </w:rPr>
        <w:t xml:space="preserve"> 年 </w:t>
      </w:r>
      <w:r>
        <w:rPr>
          <w:rFonts w:ascii="仿宋" w:cs="仿宋" w:eastAsia="仿宋" w:hAnsi="仿宋"/>
          <w:sz w:val="30"/>
          <w:szCs w:val="30"/>
          <w:color w:val="auto"/>
        </w:rPr>
        <w:t>11</w:t>
      </w:r>
      <w:r>
        <w:rPr>
          <w:rFonts w:ascii="宋体" w:cs="宋体" w:eastAsia="宋体" w:hAnsi="宋体"/>
          <w:sz w:val="30"/>
          <w:szCs w:val="30"/>
          <w:color w:val="auto"/>
        </w:rPr>
        <w:t xml:space="preserve"> 月 </w:t>
      </w:r>
      <w:r>
        <w:rPr>
          <w:rFonts w:ascii="仿宋" w:cs="仿宋" w:eastAsia="仿宋" w:hAnsi="仿宋"/>
          <w:sz w:val="30"/>
          <w:szCs w:val="30"/>
          <w:color w:val="auto"/>
        </w:rPr>
        <w:t>28</w:t>
      </w:r>
      <w:r>
        <w:rPr>
          <w:rFonts w:ascii="宋体" w:cs="宋体" w:eastAsia="宋体" w:hAnsi="宋体"/>
          <w:sz w:val="30"/>
          <w:szCs w:val="30"/>
          <w:color w:val="auto"/>
        </w:rPr>
        <w:t xml:space="preserve"> 日发布的《关于印发〈资</w:t>
      </w:r>
    </w:p>
    <w:p>
      <w:pPr>
        <w:spacing w:after="0" w:line="249" w:lineRule="exact"/>
        <w:rPr>
          <w:sz w:val="20"/>
          <w:szCs w:val="20"/>
          <w:color w:val="auto"/>
        </w:rPr>
      </w:pPr>
    </w:p>
    <w:p>
      <w:pPr>
        <w:jc w:val="center"/>
        <w:ind w:right="6"/>
        <w:spacing w:after="0" w:line="376" w:lineRule="exact"/>
        <w:rPr>
          <w:sz w:val="20"/>
          <w:szCs w:val="20"/>
          <w:color w:val="auto"/>
        </w:rPr>
      </w:pPr>
      <w:r>
        <w:rPr>
          <w:rFonts w:ascii="宋体" w:cs="宋体" w:eastAsia="宋体" w:hAnsi="宋体"/>
          <w:sz w:val="31"/>
          <w:szCs w:val="31"/>
          <w:color w:val="auto"/>
        </w:rPr>
        <w:t>产评估准则</w:t>
      </w:r>
      <w:r>
        <w:rPr>
          <w:rFonts w:ascii="Arial" w:cs="Arial" w:eastAsia="Arial" w:hAnsi="Arial"/>
          <w:sz w:val="31"/>
          <w:szCs w:val="31"/>
          <w:color w:val="auto"/>
        </w:rPr>
        <w:t>——</w:t>
      </w:r>
      <w:r>
        <w:rPr>
          <w:rFonts w:ascii="宋体" w:cs="宋体" w:eastAsia="宋体" w:hAnsi="宋体"/>
          <w:sz w:val="31"/>
          <w:szCs w:val="31"/>
          <w:color w:val="auto"/>
        </w:rPr>
        <w:t>无形资产〉和〈专利资产评估指导意见〉的</w:t>
      </w:r>
    </w:p>
    <w:p>
      <w:pPr>
        <w:spacing w:after="0" w:line="246" w:lineRule="exact"/>
        <w:rPr>
          <w:sz w:val="20"/>
          <w:szCs w:val="20"/>
          <w:color w:val="auto"/>
        </w:rPr>
      </w:pPr>
    </w:p>
    <w:p>
      <w:pPr>
        <w:ind w:left="360"/>
        <w:spacing w:after="0" w:line="376" w:lineRule="exact"/>
        <w:rPr>
          <w:sz w:val="20"/>
          <w:szCs w:val="20"/>
          <w:color w:val="auto"/>
        </w:rPr>
      </w:pPr>
      <w:r>
        <w:rPr>
          <w:rFonts w:ascii="宋体" w:cs="宋体" w:eastAsia="宋体" w:hAnsi="宋体"/>
          <w:sz w:val="31"/>
          <w:szCs w:val="31"/>
          <w:color w:val="auto"/>
        </w:rPr>
        <w:t>通知》（中评协〔</w:t>
      </w:r>
      <w:r>
        <w:rPr>
          <w:rFonts w:ascii="仿宋" w:cs="仿宋" w:eastAsia="仿宋" w:hAnsi="仿宋"/>
          <w:sz w:val="31"/>
          <w:szCs w:val="31"/>
          <w:color w:val="auto"/>
        </w:rPr>
        <w:t>2008</w:t>
      </w:r>
      <w:r>
        <w:rPr>
          <w:rFonts w:ascii="宋体" w:cs="宋体" w:eastAsia="宋体" w:hAnsi="宋体"/>
          <w:sz w:val="31"/>
          <w:szCs w:val="31"/>
          <w:color w:val="auto"/>
        </w:rPr>
        <w:t>〕</w:t>
      </w:r>
      <w:r>
        <w:rPr>
          <w:rFonts w:ascii="仿宋" w:cs="仿宋" w:eastAsia="仿宋" w:hAnsi="仿宋"/>
          <w:sz w:val="31"/>
          <w:szCs w:val="31"/>
          <w:color w:val="auto"/>
        </w:rPr>
        <w:t>217</w:t>
      </w:r>
      <w:r>
        <w:rPr>
          <w:rFonts w:ascii="Arial" w:cs="Arial" w:eastAsia="Arial" w:hAnsi="Arial"/>
          <w:sz w:val="31"/>
          <w:szCs w:val="31"/>
          <w:color w:val="auto"/>
        </w:rPr>
        <w:t xml:space="preserve"> </w:t>
      </w:r>
      <w:r>
        <w:rPr>
          <w:rFonts w:ascii="宋体" w:cs="宋体" w:eastAsia="宋体" w:hAnsi="宋体"/>
          <w:sz w:val="31"/>
          <w:szCs w:val="31"/>
          <w:color w:val="auto"/>
        </w:rPr>
        <w:t>号）中的《资产评估准则</w:t>
      </w:r>
      <w:r>
        <w:rPr>
          <w:rFonts w:ascii="Arial" w:cs="Arial" w:eastAsia="Arial" w:hAnsi="Arial"/>
          <w:sz w:val="31"/>
          <w:szCs w:val="31"/>
          <w:color w:val="auto"/>
        </w:rPr>
        <w:t>——</w:t>
      </w:r>
      <w:r>
        <w:rPr>
          <w:rFonts w:ascii="宋体" w:cs="宋体" w:eastAsia="宋体" w:hAnsi="宋体"/>
          <w:sz w:val="31"/>
          <w:szCs w:val="31"/>
          <w:color w:val="auto"/>
        </w:rPr>
        <w:t>无</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形资产》同时废止。</w:t>
      </w:r>
    </w:p>
    <w:sectPr>
      <w:pgSz w:w="11900" w:h="16838" w:orient="portrait"/>
      <w:cols w:equalWidth="0" w:num="1">
        <w:col w:w="9026"/>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2017-09-14T10:39:44Z</dcterms:created>
  <dcterms:modified xsi:type="dcterms:W3CDTF">2017-09-14T10:39:44Z</dcterms:modified>
</cp:coreProperties>
</file>