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附件</w:t>
      </w:r>
    </w:p>
    <w:p>
      <w:pPr>
        <w:spacing w:after="0" w:line="322" w:lineRule="exact"/>
        <w:rPr>
          <w:sz w:val="24"/>
          <w:szCs w:val="24"/>
          <w:color w:val="auto"/>
        </w:rPr>
      </w:pPr>
    </w:p>
    <w:p>
      <w:pPr>
        <w:ind w:left="1560"/>
        <w:spacing w:after="0" w:line="53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资产评估执业准则</w:t>
      </w:r>
      <w:r>
        <w:rPr>
          <w:rFonts w:ascii="Arial" w:cs="Arial" w:eastAsia="Arial" w:hAnsi="Arial"/>
          <w:sz w:val="44"/>
          <w:szCs w:val="44"/>
          <w:b w:val="1"/>
          <w:bCs w:val="1"/>
          <w:color w:val="auto"/>
        </w:rPr>
        <w:t>——</w:t>
      </w:r>
      <w:r>
        <w:rPr>
          <w:rFonts w:ascii="宋体" w:cs="宋体" w:eastAsia="宋体" w:hAnsi="宋体"/>
          <w:sz w:val="44"/>
          <w:szCs w:val="44"/>
          <w:b w:val="1"/>
          <w:bCs w:val="1"/>
          <w:color w:val="auto"/>
        </w:rPr>
        <w:t>珠宝首饰</w:t>
      </w:r>
    </w:p>
    <w:p>
      <w:pPr>
        <w:spacing w:after="0" w:line="327" w:lineRule="exact"/>
        <w:rPr>
          <w:sz w:val="24"/>
          <w:szCs w:val="24"/>
          <w:color w:val="auto"/>
        </w:rPr>
      </w:pPr>
    </w:p>
    <w:p>
      <w:pPr>
        <w:jc w:val="center"/>
        <w:ind w:left="3700"/>
        <w:spacing w:after="0" w:line="366" w:lineRule="exact"/>
        <w:tabs>
          <w:tab w:leader="none" w:pos="3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第一章</w:t>
        <w:tab/>
        <w:t>总则</w:t>
      </w: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为规范珠宝首饰评估行为，保护资产评估当事人</w:t>
      </w:r>
    </w:p>
    <w:p>
      <w:pPr>
        <w:spacing w:after="0" w:line="268" w:lineRule="exact"/>
        <w:rPr>
          <w:sz w:val="24"/>
          <w:szCs w:val="24"/>
          <w:color w:val="auto"/>
        </w:rPr>
      </w:pPr>
    </w:p>
    <w:p>
      <w:pPr>
        <w:ind w:left="2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合法权益和公共利益，根据《资产评估基本准则》制定本准则。</w:t>
      </w:r>
    </w:p>
    <w:p>
      <w:pPr>
        <w:spacing w:after="0" w:line="260" w:lineRule="exact"/>
        <w:rPr>
          <w:sz w:val="24"/>
          <w:szCs w:val="24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本准则所称珠宝首饰，是指珠宝玉石和用于饰品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制作的贵金属的原料、半成品及其制成品。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本准则所称珠宝首饰评估，是指资产评估机构、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资产评估师（珠宝）及其他珠宝评估专业人员遵守法律、行政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法规和资产评估准则，按照有关珠宝首饰的国家标准，在对珠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宝首饰进行鉴定分级分析的基础上，根据委托对评估基准日特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定目的下的珠宝首饰价值进行评定和估算，并出具资产评估报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告的专业服务行为。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涉及珠宝首饰的著作权等无形资产价值评估，需要按照相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关准则要求执行。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900"/>
        <w:spacing w:after="0" w:line="366" w:lineRule="exact"/>
        <w:tabs>
          <w:tab w:leader="none" w:pos="21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执行珠宝首饰评估业务，应当遵守本准则。</w:t>
      </w: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jc w:val="center"/>
        <w:ind w:left="34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第二章</w:t>
        <w:tab/>
        <w:t>基本遵循</w:t>
      </w:r>
    </w:p>
    <w:p>
      <w:pPr>
        <w:spacing w:after="0" w:line="377" w:lineRule="exact"/>
        <w:rPr>
          <w:sz w:val="24"/>
          <w:szCs w:val="24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珠宝首饰资产评估报告应当由至少两名承办该项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业务的资产评估师（珠宝）或者其他珠宝评估专业人员签名并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加盖资产评估机构印章。</w:t>
      </w:r>
    </w:p>
    <w:p>
      <w:pPr>
        <w:spacing w:after="0" w:line="257" w:lineRule="exact"/>
        <w:rPr>
          <w:sz w:val="24"/>
          <w:szCs w:val="24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法定评估业务的资产评估报告应当由至少两名承办该项业</w:t>
      </w:r>
    </w:p>
    <w:p>
      <w:pPr>
        <w:sectPr>
          <w:pgSz w:w="11900" w:h="16841" w:orient="portrait"/>
          <w:cols w:equalWidth="0" w:num="1">
            <w:col w:w="9040"/>
          </w:cols>
          <w:pgMar w:left="1440" w:top="1440" w:right="1426" w:bottom="911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务的资产评估师（珠宝）签名并加盖资产评估机构印章。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执行珠宝首饰评估业务，应当具备珠宝首饰评估</w: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2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的专业知识和实践经验，能够胜任所执行的珠宝首饰评估业务。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当缺乏执行某项特定业务所需的相关专业知识和经验时，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应当采取弥补措施，包括利用专家工作及相关报告等。</w:t>
      </w:r>
    </w:p>
    <w:p>
      <w:pPr>
        <w:spacing w:after="0" w:line="307" w:lineRule="exact"/>
        <w:rPr>
          <w:sz w:val="20"/>
          <w:szCs w:val="20"/>
          <w:color w:val="auto"/>
        </w:rPr>
      </w:pPr>
    </w:p>
    <w:p>
      <w:pPr>
        <w:jc w:val="both"/>
        <w:ind w:left="260" w:right="160" w:firstLine="643"/>
        <w:spacing w:after="0" w:line="52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 xml:space="preserve">第七条 </w:t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执行珠宝首饰评估业务，应当坚持独立、客观、公正的原则，勤勉尽责，保持应有的职业谨慎，独立进行分析和估算并形成专业意见。</w:t>
      </w:r>
    </w:p>
    <w:p>
      <w:pPr>
        <w:spacing w:after="0" w:line="380" w:lineRule="exact"/>
        <w:rPr>
          <w:sz w:val="20"/>
          <w:szCs w:val="20"/>
          <w:color w:val="auto"/>
        </w:rPr>
      </w:pPr>
    </w:p>
    <w:p>
      <w:pPr>
        <w:jc w:val="center"/>
        <w:ind w:left="34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第三章</w:t>
        <w:tab/>
        <w:t>操作要求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执行珠宝首饰评估业务，应当明确评估对象、评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估范围、评估目的、评估基准日、价值类型和资产评估报告使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用人。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执行珠宝首饰评估业务，应当依据《资产评估执</w:t>
      </w:r>
    </w:p>
    <w:p>
      <w:pPr>
        <w:spacing w:after="0" w:line="280" w:lineRule="exact"/>
        <w:rPr>
          <w:sz w:val="20"/>
          <w:szCs w:val="20"/>
          <w:color w:val="auto"/>
        </w:rPr>
      </w:pPr>
    </w:p>
    <w:p>
      <w:pPr>
        <w:ind w:left="26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业准则</w:t>
      </w:r>
      <w:r>
        <w:rPr>
          <w:rFonts w:ascii="Arial" w:cs="Arial" w:eastAsia="Arial" w:hAnsi="Arial"/>
          <w:sz w:val="31"/>
          <w:szCs w:val="31"/>
          <w:color w:val="auto"/>
        </w:rPr>
        <w:t>——</w:t>
      </w:r>
      <w:r>
        <w:rPr>
          <w:rFonts w:ascii="宋体" w:cs="宋体" w:eastAsia="宋体" w:hAnsi="宋体"/>
          <w:sz w:val="31"/>
          <w:szCs w:val="31"/>
          <w:color w:val="auto"/>
        </w:rPr>
        <w:t>资产评估程序》，履行资产评估基本程序，结合珠宝</w:t>
      </w:r>
    </w:p>
    <w:p>
      <w:pPr>
        <w:spacing w:after="0" w:line="311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首饰评估业务的具体情况，制定并实施适当的具体评估步骤。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2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执行珠宝首饰评估业务，应当对珠宝首饰进行实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物确认，明确珠宝首饰的存在状态。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执行珠宝首饰评估业务，应当关注评估对象的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权属，要求委托人或者其他相关当事人对珠宝首饰的权属做出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承诺，并应当对珠宝首饰的权属相关资料进行必要查验。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执行珠宝首饰评估业务，应当对珠宝首饰进行</w:t>
      </w:r>
    </w:p>
    <w:p>
      <w:pPr>
        <w:sectPr>
          <w:pgSz w:w="11900" w:h="16841" w:orient="portrait"/>
          <w:cols w:equalWidth="0" w:num="1">
            <w:col w:w="9200"/>
          </w:cols>
          <w:pgMar w:left="1440" w:top="1440" w:right="1266" w:bottom="1440" w:gutter="0" w:footer="0" w:header="0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鉴定和品质分级。在对评估对象进行鉴定分级时，应当采用相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应的国家标准及行业标准。如果没有相应的国家及行业分级标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准，可以采用国内外珠宝业通用的分级体系，并在资产评估报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告中明确说明。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执行珠宝首饰评估业务，可以采用具有资质的珠宝质检机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构出具的鉴定分级结论，并按照资产评估准则要求执行。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执行珠宝首饰评估业务，应当知晓同一珠宝首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饰在不同市场的价值可能存在差异，并根据评估对象的具体情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况确定适当的市场级别。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执行珠宝首饰评估业务，应当获得真实、可靠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的珠宝首饰的市场信息及其他相关信息。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执行珠宝首饰评估业务，应当根据评估对象的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具体情况，合理选择收集信息的内容。通常关注以下方面：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（一）评估对象的历史、现状及相关证明资料；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（二）评估对象以往的评估及交易情况；</w: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9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（三）相同或者类似珠宝首饰的市场价格信息及交易情况；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9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（四）评估对象的市场供求关系、稀缺程度及市场前景等；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（五）可能影响珠宝首饰价值的宏观经济状况；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（六）其他相关信息资料。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第十六条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执行珠宝首饰评估业务，应当考虑珠宝首饰的</w:t>
      </w:r>
    </w:p>
    <w:p>
      <w:pPr>
        <w:spacing w:after="0" w:line="268" w:lineRule="exact"/>
        <w:rPr>
          <w:sz w:val="20"/>
          <w:szCs w:val="20"/>
          <w:color w:val="auto"/>
        </w:rPr>
      </w:pPr>
    </w:p>
    <w:p>
      <w:pPr>
        <w:ind w:left="26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品质因素及其他因素对评估对象价值的影响，如来源（出处）、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历史、名人拥有、名师设计制作、品牌、稀缺程度等。</w:t>
      </w:r>
    </w:p>
    <w:p>
      <w:pPr>
        <w:sectPr>
          <w:pgSz w:w="11900" w:h="16841" w:orient="portrait"/>
          <w:cols w:equalWidth="0" w:num="1">
            <w:col w:w="9200"/>
          </w:cols>
          <w:pgMar w:left="1440" w:top="1440" w:right="1266" w:bottom="947" w:gutter="0" w:footer="0" w:header="0"/>
        </w:sectPr>
      </w:pPr>
    </w:p>
    <w:bookmarkStart w:id="3" w:name="page4"/>
    <w:bookmarkEnd w:id="3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第十七条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执行珠宝首饰评估业务，可以根据评估目的和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珠宝首饰具体情况合理确定评估假设，并在资产评估报告中予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以披露。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jc w:val="center"/>
        <w:ind w:left="3400"/>
        <w:spacing w:after="0" w:line="366" w:lineRule="exact"/>
        <w:tabs>
          <w:tab w:leader="none" w:pos="3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第四章</w:t>
        <w:tab/>
        <w:t>评估方法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第十八条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执行珠宝首饰评估业务，应当根据评估目的、</w:t>
      </w: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评估对象、价值类型、资料收集等情况，分析市场法、成本法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和收益法三种资产评估基本方法的适用性，选择评估方法。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第十九条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执行珠宝首饰评估业务采用市场法时，应当：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（一）明确是否存在公开、活跃的交易市场，是否能够获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取足够数量的可比参照物或者案例，并关注数据的可靠性；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（二）收集评估对象以往的交易信息、相同或者类似珠宝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首饰交易的市场信息；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（三）确定若干相同或者类似的珠宝首饰作为参照物，充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分考虑其价值因素的可比性；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（四）根据评估对象的具体情况，确定可以作为评估依据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的合适的交易市场；</w:t>
      </w:r>
    </w:p>
    <w:p>
      <w:pPr>
        <w:spacing w:after="0" w:line="270" w:lineRule="exact"/>
        <w:rPr>
          <w:sz w:val="20"/>
          <w:szCs w:val="20"/>
          <w:color w:val="auto"/>
        </w:rPr>
      </w:pPr>
    </w:p>
    <w:p>
      <w:pPr>
        <w:ind w:left="900"/>
        <w:spacing w:after="0" w:line="35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（五）根据评估对象与参照物之间的区别，以及市场级别、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市场交易条件等因素的差异，对相同或者类似珠宝首饰交易信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息及相关资料进行分析调整。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50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执行珠宝首饰评估业务采用成本法时，应当：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（一）分析评估对象是否可以复制、可以再生产等因素，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考虑成本法的适用性；</w:t>
      </w:r>
    </w:p>
    <w:p>
      <w:pPr>
        <w:sectPr>
          <w:pgSz w:w="11900" w:h="16841" w:orient="portrait"/>
          <w:cols w:equalWidth="0" w:num="1">
            <w:col w:w="9040"/>
          </w:cols>
          <w:pgMar w:left="1440" w:top="1440" w:right="1426" w:bottom="707" w:gutter="0" w:footer="0" w:header="0"/>
        </w:sectPr>
      </w:pPr>
    </w:p>
    <w:bookmarkStart w:id="4" w:name="page5"/>
    <w:bookmarkEnd w:id="4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（二）合理确定重置成本的构成要素，明确珠宝首饰的重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置成本包括材料成本、制作成本、相关税费、合理利润及其他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费用；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（三）恰当选择重置成本的类型，即复原重置成本和更新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重置成本；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（四）合理确定实体性贬值、经济性贬值和功能性贬值。</w:t>
      </w:r>
    </w:p>
    <w:p>
      <w:pPr>
        <w:spacing w:after="0" w:line="269" w:lineRule="exact"/>
        <w:rPr>
          <w:sz w:val="20"/>
          <w:szCs w:val="20"/>
          <w:color w:val="auto"/>
        </w:rPr>
      </w:pPr>
    </w:p>
    <w:p>
      <w:pPr>
        <w:ind w:left="900"/>
        <w:spacing w:after="0" w:line="354" w:lineRule="exact"/>
        <w:tabs>
          <w:tab w:leader="none" w:pos="28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第二十一条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1"/>
          <w:szCs w:val="31"/>
          <w:color w:val="auto"/>
        </w:rPr>
        <w:t>执行珠宝首饰评估业务采用收益法时，应当：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（一）明确珠宝首饰较少采用收益法进行评估。收益法通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常只适用于租赁、展览等持续经营活动中，具有独立获利能力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或者获利能力可以量化的珠宝首饰的资产评估业务。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（二）合理确定收益期限，合理预测未来收益。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（三）合理确定折现率。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（四）分析租约等法律文件内容对评估对象价值可能具有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的影响。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第二十二条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对同一珠宝首饰采用多种评估方法时，应当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对所获得的各种测算结果进行分析，合理形成评估结论。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3700"/>
        <w:spacing w:after="0" w:line="366" w:lineRule="exact"/>
        <w:tabs>
          <w:tab w:leader="none" w:pos="49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第五章</w:t>
        <w:tab/>
        <w:t>披露要求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第二十三条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无论单独出具珠宝首饰资产评估报告，还是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将珠宝首饰评估作为资产评估报告的组成部分，都应当在资产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评估报告中披露必要信息，使资产评估报告使用人能够正确理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解评估结论。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第二十四条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编制珠宝首饰资产评估报告应当反映珠宝首</w:t>
      </w:r>
    </w:p>
    <w:p>
      <w:pPr>
        <w:sectPr>
          <w:pgSz w:w="11900" w:h="16841" w:orient="portrait"/>
          <w:cols w:equalWidth="0" w:num="1">
            <w:col w:w="9200"/>
          </w:cols>
          <w:pgMar w:left="1440" w:top="1440" w:right="1266" w:bottom="707" w:gutter="0" w:footer="0" w:header="0"/>
        </w:sectPr>
      </w:pPr>
    </w:p>
    <w:bookmarkStart w:id="5" w:name="page6"/>
    <w:bookmarkEnd w:id="5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饰评估的特点。通常包括以下内容：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（一）对评估对象的恰当描述，包括珠宝首饰的客观辨别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特征和价值贡献特征。应当根据评估对象的特点和评估业务的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具体情况，确定需要描述的内容，并突出描述影响价值结论的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关键性特征。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（二）珠宝首饰评估的价值类型及其定义。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（三）评估程序实施过程描述，应当反映对珠宝首饰的实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物调查、市场调查、鉴定分级、评定估算等过程。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（四）珠宝首饰质押及其他限制情况。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900"/>
        <w:spacing w:after="0" w:line="366" w:lineRule="exact"/>
        <w:tabs>
          <w:tab w:leader="none" w:pos="284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b w:val="1"/>
          <w:bCs w:val="1"/>
          <w:color w:val="auto"/>
        </w:rPr>
        <w:t>第二十五条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32"/>
          <w:szCs w:val="32"/>
          <w:color w:val="auto"/>
        </w:rPr>
        <w:t>编制珠宝首饰资产评估报告时，可以根据评</w:t>
      </w:r>
    </w:p>
    <w:p>
      <w:pPr>
        <w:spacing w:after="0" w:line="257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估业务的性质合理确定资产评估报告的详略程度。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jc w:val="center"/>
        <w:ind w:left="3700"/>
        <w:spacing w:after="0" w:line="366" w:lineRule="exact"/>
        <w:tabs>
          <w:tab w:leader="none" w:pos="32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第六章</w:t>
        <w:tab/>
        <w:t>附则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4" w:lineRule="exact"/>
        <w:rPr>
          <w:sz w:val="20"/>
          <w:szCs w:val="20"/>
          <w:color w:val="auto"/>
        </w:rPr>
      </w:pPr>
    </w:p>
    <w:p>
      <w:pPr>
        <w:ind w:left="260" w:firstLine="643"/>
        <w:spacing w:after="0" w:line="47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b w:val="1"/>
          <w:bCs w:val="1"/>
          <w:color w:val="auto"/>
        </w:rPr>
        <w:t>第二十六条</w:t>
      </w:r>
      <w:r>
        <w:rPr>
          <w:rFonts w:ascii="Arial" w:cs="Arial" w:eastAsia="Arial" w:hAnsi="Arial"/>
          <w:sz w:val="31"/>
          <w:szCs w:val="31"/>
          <w:color w:val="auto"/>
        </w:rPr>
        <w:t xml:space="preserve"> </w:t>
      </w:r>
      <w:r>
        <w:rPr>
          <w:rFonts w:ascii="宋体" w:cs="宋体" w:eastAsia="宋体" w:hAnsi="宋体"/>
          <w:sz w:val="31"/>
          <w:szCs w:val="31"/>
          <w:color w:val="auto"/>
        </w:rPr>
        <w:t>本准则自</w:t>
      </w:r>
      <w:r>
        <w:rPr>
          <w:rFonts w:ascii="Arial" w:cs="Arial" w:eastAsia="Arial" w:hAnsi="Arial"/>
          <w:sz w:val="31"/>
          <w:szCs w:val="31"/>
          <w:color w:val="auto"/>
        </w:rPr>
        <w:t>2017</w:t>
      </w:r>
      <w:r>
        <w:rPr>
          <w:rFonts w:ascii="宋体" w:cs="宋体" w:eastAsia="宋体" w:hAnsi="宋体"/>
          <w:sz w:val="31"/>
          <w:szCs w:val="31"/>
          <w:color w:val="auto"/>
        </w:rPr>
        <w:t>年</w:t>
      </w:r>
      <w:r>
        <w:rPr>
          <w:rFonts w:ascii="Arial" w:cs="Arial" w:eastAsia="Arial" w:hAnsi="Arial"/>
          <w:sz w:val="31"/>
          <w:szCs w:val="31"/>
          <w:color w:val="auto"/>
        </w:rPr>
        <w:t>10</w:t>
      </w:r>
      <w:r>
        <w:rPr>
          <w:rFonts w:ascii="宋体" w:cs="宋体" w:eastAsia="宋体" w:hAnsi="宋体"/>
          <w:sz w:val="31"/>
          <w:szCs w:val="31"/>
          <w:color w:val="auto"/>
        </w:rPr>
        <w:t>月</w:t>
      </w:r>
      <w:r>
        <w:rPr>
          <w:rFonts w:ascii="Arial" w:cs="Arial" w:eastAsia="Arial" w:hAnsi="Arial"/>
          <w:sz w:val="31"/>
          <w:szCs w:val="31"/>
          <w:color w:val="auto"/>
        </w:rPr>
        <w:t>1</w:t>
      </w:r>
      <w:r>
        <w:rPr>
          <w:rFonts w:ascii="宋体" w:cs="宋体" w:eastAsia="宋体" w:hAnsi="宋体"/>
          <w:sz w:val="31"/>
          <w:szCs w:val="31"/>
          <w:color w:val="auto"/>
        </w:rPr>
        <w:t>日起施行。中国资产评估协会于</w:t>
      </w:r>
      <w:r>
        <w:rPr>
          <w:rFonts w:ascii="Arial" w:cs="Arial" w:eastAsia="Arial" w:hAnsi="Arial"/>
          <w:sz w:val="31"/>
          <w:szCs w:val="31"/>
          <w:color w:val="auto"/>
        </w:rPr>
        <w:t>2009</w:t>
      </w:r>
      <w:r>
        <w:rPr>
          <w:rFonts w:ascii="宋体" w:cs="宋体" w:eastAsia="宋体" w:hAnsi="宋体"/>
          <w:sz w:val="31"/>
          <w:szCs w:val="31"/>
          <w:color w:val="auto"/>
        </w:rPr>
        <w:t>年</w:t>
      </w:r>
      <w:r>
        <w:rPr>
          <w:rFonts w:ascii="Arial" w:cs="Arial" w:eastAsia="Arial" w:hAnsi="Arial"/>
          <w:sz w:val="31"/>
          <w:szCs w:val="31"/>
          <w:color w:val="auto"/>
        </w:rPr>
        <w:t>12</w:t>
      </w:r>
      <w:r>
        <w:rPr>
          <w:rFonts w:ascii="宋体" w:cs="宋体" w:eastAsia="宋体" w:hAnsi="宋体"/>
          <w:sz w:val="31"/>
          <w:szCs w:val="31"/>
          <w:color w:val="auto"/>
        </w:rPr>
        <w:t>月</w:t>
      </w:r>
      <w:r>
        <w:rPr>
          <w:rFonts w:ascii="Arial" w:cs="Arial" w:eastAsia="Arial" w:hAnsi="Arial"/>
          <w:sz w:val="31"/>
          <w:szCs w:val="31"/>
          <w:color w:val="auto"/>
        </w:rPr>
        <w:t>18</w:t>
      </w:r>
      <w:r>
        <w:rPr>
          <w:rFonts w:ascii="宋体" w:cs="宋体" w:eastAsia="宋体" w:hAnsi="宋体"/>
          <w:sz w:val="31"/>
          <w:szCs w:val="31"/>
          <w:color w:val="auto"/>
        </w:rPr>
        <w:t>日发布的《关于印发〈投资性房地产评</w:t>
      </w: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26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估指导意见（试行）〉和〈资产评估准则</w:t>
      </w:r>
      <w:r>
        <w:rPr>
          <w:rFonts w:ascii="Arial" w:cs="Arial" w:eastAsia="Arial" w:hAnsi="Arial"/>
          <w:sz w:val="32"/>
          <w:szCs w:val="32"/>
          <w:color w:val="auto"/>
        </w:rPr>
        <w:t>——</w:t>
      </w:r>
      <w:r>
        <w:rPr>
          <w:rFonts w:ascii="宋体" w:cs="宋体" w:eastAsia="宋体" w:hAnsi="宋体"/>
          <w:sz w:val="32"/>
          <w:szCs w:val="32"/>
          <w:color w:val="auto"/>
        </w:rPr>
        <w:t>珠宝首饰〉的通</w:t>
      </w:r>
    </w:p>
    <w:p>
      <w:pPr>
        <w:spacing w:after="0" w:line="246" w:lineRule="exact"/>
        <w:rPr>
          <w:sz w:val="20"/>
          <w:szCs w:val="20"/>
          <w:color w:val="auto"/>
        </w:rPr>
      </w:pPr>
    </w:p>
    <w:p>
      <w:pPr>
        <w:ind w:left="260"/>
        <w:spacing w:after="0" w:line="3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1"/>
          <w:szCs w:val="31"/>
          <w:color w:val="auto"/>
        </w:rPr>
        <w:t>知》（中评协〔</w:t>
      </w:r>
      <w:r>
        <w:rPr>
          <w:rFonts w:ascii="Arial" w:cs="Arial" w:eastAsia="Arial" w:hAnsi="Arial"/>
          <w:sz w:val="31"/>
          <w:szCs w:val="31"/>
          <w:color w:val="auto"/>
        </w:rPr>
        <w:t>2009</w:t>
      </w:r>
      <w:r>
        <w:rPr>
          <w:rFonts w:ascii="宋体" w:cs="宋体" w:eastAsia="宋体" w:hAnsi="宋体"/>
          <w:sz w:val="31"/>
          <w:szCs w:val="31"/>
          <w:color w:val="auto"/>
        </w:rPr>
        <w:t>〕</w:t>
      </w:r>
      <w:r>
        <w:rPr>
          <w:rFonts w:ascii="Arial" w:cs="Arial" w:eastAsia="Arial" w:hAnsi="Arial"/>
          <w:sz w:val="31"/>
          <w:szCs w:val="31"/>
          <w:color w:val="auto"/>
        </w:rPr>
        <w:t>211</w:t>
      </w:r>
      <w:r>
        <w:rPr>
          <w:rFonts w:ascii="宋体" w:cs="宋体" w:eastAsia="宋体" w:hAnsi="宋体"/>
          <w:sz w:val="31"/>
          <w:szCs w:val="31"/>
          <w:color w:val="auto"/>
        </w:rPr>
        <w:t>号）中的《资产评估准则</w:t>
      </w:r>
      <w:r>
        <w:rPr>
          <w:rFonts w:ascii="Arial" w:cs="Arial" w:eastAsia="Arial" w:hAnsi="Arial"/>
          <w:sz w:val="31"/>
          <w:szCs w:val="31"/>
          <w:color w:val="auto"/>
        </w:rPr>
        <w:t>——</w:t>
      </w:r>
      <w:r>
        <w:rPr>
          <w:rFonts w:ascii="宋体" w:cs="宋体" w:eastAsia="宋体" w:hAnsi="宋体"/>
          <w:sz w:val="31"/>
          <w:szCs w:val="31"/>
          <w:color w:val="auto"/>
        </w:rPr>
        <w:t>珠宝首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60"/>
        <w:spacing w:after="0" w:line="36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饰》同时废止。</w:t>
      </w:r>
    </w:p>
    <w:sectPr>
      <w:pgSz w:w="11900" w:h="16841" w:orient="portrait"/>
      <w:cols w:equalWidth="0" w:num="1">
        <w:col w:w="9040"/>
      </w:cols>
      <w:pgMar w:left="1440" w:top="1440" w:right="1426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2017-09-14T10:39:45Z</dcterms:created>
  <dcterms:modified xsi:type="dcterms:W3CDTF">2017-09-14T10:39:45Z</dcterms:modified>
</cp:coreProperties>
</file>