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4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资产评估执业准则</w:t>
      </w: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——</w:t>
      </w: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企业价值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总则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第一条 </w:t>
      </w:r>
      <w:r>
        <w:rPr>
          <w:rFonts w:ascii="宋体" w:cs="宋体" w:eastAsia="宋体" w:hAnsi="宋体"/>
          <w:sz w:val="32"/>
          <w:szCs w:val="32"/>
          <w:color w:val="auto"/>
        </w:rPr>
        <w:t>为规范企业价值评估行为，保护资产评估当事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人合法权益和公共利益，根据《资产评估基本准则》制定本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准则。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第二条 </w:t>
      </w:r>
      <w:r>
        <w:rPr>
          <w:rFonts w:ascii="宋体" w:cs="宋体" w:eastAsia="宋体" w:hAnsi="宋体"/>
          <w:sz w:val="32"/>
          <w:szCs w:val="32"/>
          <w:color w:val="auto"/>
        </w:rPr>
        <w:t>本准则所称企业价值评估，是指资产评估机构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及其资产评估专业人员遵守法律、行政法规和资产评估准则，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根据委托对评估基准日特定目的下的企业整体价值、股东全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部权益价值或者股东部分权益价值等进行评定和估算，并出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具资产评估报告的专业服务行为。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执行企业价值评估业务，应当遵守本准则。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基本遵循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执行企业价值评估业务，应当具备企业价值评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估的专业知识和实践经验，能够胜任所执行的企业价值评估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业务。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执行某项特定业务缺乏特定的专业知识和经验时，应当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采取弥补措施，包括利用专家工作及相关报告等。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000"/>
        <w:spacing w:after="0" w:line="354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执行企业价值评估业务，应当坚持独立、客观、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公正的原则，勤勉尽责，保持应有的职业谨慎，独立进行分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析和估算并形成专业意见。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1" w:name="page2"/>
    <w:bookmarkEnd w:id="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执行企业价值评估业务，应当根据评估目的，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明确评估对象，合理使用评估假设，选择适当的价值类型，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恰当运用评估方法，履行必要评估程序，形成评估结论。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资产评估专业人员应当依法对企业价值评估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活动中使用的资料进行核查验证。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因法律法规规定、客观条件限制无法实施核查验证的事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项，资产评估专业人员应当在工作底稿中予以说明，分析其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对评估结论的影响程度，并在资产评估报告中予以披露。如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果上述事项对评估结论产生重大影响，资产评估机构不得出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具资产评估报告。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操作要求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资产评估机构受理企业价值评估业务前，应当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明确下列基本事项：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（一）委托人的基本情况；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（二）被评估单位的基本情况；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（三）评估目的；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（四）评估对象和评估范围；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（五）价值类型；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（六）评估基准日；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（七）资产评估报告使用范围；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（八）评估假设；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（九）需要明确的其他事项。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2" w:name="page3"/>
    <w:bookmarkEnd w:id="2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资产评估专业人员应当根据委托事项和评估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目的，与委托人协商明确评估对象。企业价值评估中的评估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对象包括企业整体价值、股东全部权益价值和股东部分权益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执行企业价值评估业务，应当充分考虑评估目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的、市场条件、评估对象自身条件等因素，恰当选择价值类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型。企业价值评估中常见的价值类型有市场价值和投资价值。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执行企业价值评估业务，应当根据评估业务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的具体情况，确定所需资料的清单并收集相关资料，通常包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括：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right"/>
        <w:ind w:left="360" w:right="206"/>
        <w:spacing w:after="0" w:line="52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（一）评估对象权益状况相关的协议、章程、股权证明等有关法律文件、评估对象涉及的主要资产权属证明资料；（二）被评估单位历史沿革、控制股东及股东持股比例、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经营管理结构和产权架构资料；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366" w:firstLine="641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（三）被评估单位的业务、资产、财务、人员及经营状况资料；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（四）被评估单位经营计划、发展规划和收益预测资料；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（五）评估对象、被评估单位以往的评估及交易资料；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（六）影响被评估单位经营的宏观、区域经济因素资料；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（七）被评估单位所在行业现状与发展前景资料；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（八）证券市场、产权交易市场等市场的有关资料；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（九）可比企业的经营情况、财务信息、股票价格或者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3" w:name="page4"/>
    <w:bookmarkEnd w:id="3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股权交易价格等资料。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资产评估专业人员应当尽可能获取被评估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单位和可比企业的审计报告，无论财务报表是否经过审计，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资产评估专业人员都应当根据所采用评估方法对财务报表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的使用要求对其进行分析和判断，但对相关财务报表是否公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允反映评估基准日的财务状况和当期经营成果、现金流量发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表专业意见并非资产评估专业人员的责任。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采用资产基础法评估，应当对所采用的被评估单位于评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估基准日的资产及负债账面值的真实性进行分析和判断；采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用收益法或者市场法评估，应当对所采用的被评估单位和可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比企业财务指标的合理性进行分析和判断。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采用收益法或者市场法进行企业价值评估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时，可以根据评估对象、评估假设、价值类型等相关条件，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在与委托人和其他相关当事人协商并获得有关信息的基础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上，对被评估单位和可比企业财务报表进行分析和必要的调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整，以使评估中采用的财务数据以及相关参数适用、可比。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根据评估业务的具体情况，分析和调整事项通常包括：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（一）财务报表编制基础；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（二）非经常性收入和支出；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（三）非经营性资产、负债和溢余资产及其相关的收入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和支出。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采用收益法或者市场法进行企业价值评估，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4" w:name="page5"/>
    <w:bookmarkEnd w:id="4"/>
    <w:p>
      <w:pPr>
        <w:spacing w:after="0" w:line="11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应当与委托人和其他相关当事人进行沟通，了解被评估单位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资产配置和使用情况，谨慎识别非经营性资产、负债和溢余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资产，并根据相关信息获得情况以及对评估结论的影响程度，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确定是否单独评估。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资产评估专业人员应当知晓评估对象在持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续经营前提下的价值并不必然大于在清算前提下的价值。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如果相关当事人有权启动清算程序，资产评估专业人员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应当根据委托评估事项，分析评估对象在清算前提下价值大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于在持续经营前提下价值的可能性。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ind w:left="360" w:right="46" w:firstLine="643"/>
        <w:spacing w:after="0" w:line="5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第十六条 </w:t>
      </w:r>
      <w:r>
        <w:rPr>
          <w:rFonts w:ascii="宋体" w:cs="宋体" w:eastAsia="宋体" w:hAnsi="宋体"/>
          <w:sz w:val="32"/>
          <w:szCs w:val="32"/>
          <w:color w:val="auto"/>
        </w:rPr>
        <w:t>在对具有多种业务类型、涉及多种行业的企业进行企业价值评估时，应当根据业务关联性界定业务单元，并根据被评估单位和业务单元的具体情况，采用适宜的财务数据口径进行评估。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评估方法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执行企业价值评估业务，应当根据评估目的、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评估对象、价值类型、资料收集等情况，分析收益法、市场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法、成本法（资产基础法）三种基本方法的适用性，选择评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对于适合采用不同评估方法进行企业价值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评估的，资产评估专业人员应当采用两种以上评估方法进行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企业价值评估中的收益法，是指将预期收益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5" w:name="page6"/>
    <w:bookmarkEnd w:id="5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资本化或者折现，确定评估对象价值的评估方法。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资产评估专业人员应当结合被评估单位的历史经营情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况、未来收益可预测情况、所获取评估资料的充分性，恰当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考虑收益法的适用性。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收益法常用的具体方法包括股利折现法和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现金流量折现法。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股利折现法是将预期股利进行折现以确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定评估对象价值的具体方法，通常适用于缺乏控制权的股东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部分权益价值评估。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股利折现法的预期股利一般应当体现市场参与者的通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常预期，适用的价值类型通常为市场价值。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现金流量折现法通常包括企业自由现金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流折现模型和股权自由现金流折现模型。资产评估专业人员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应当根据被评估单位所处行业、经营模式、资本结构、发展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趋势等，恰当选择现金流折现模型。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预测现金流量，既可以从市场参与者角度进行，也可以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选择特定投资者的角度。在实际控制或者评估目的是为了获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得实际控制权情形下，从特定投资者的角度预测现金流量时，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适用的价值类型通常为投资价值。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30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对委托人和其他相关当事人依法提供并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保证合理性、合法性、完整性的未来收益预测资料，资产评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估专业人员应当与委托人和其他相关当事人讨论未来各种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6" w:name="page7"/>
    <w:bookmarkEnd w:id="6"/>
    <w:p>
      <w:pPr>
        <w:spacing w:after="0" w:line="127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可能性，结合被评估单位的人力资源、技术水平、资本结构、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经营状况、历史业绩、发展趋势，考虑宏观经济因素、所在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行业现状与发展前景，分析未来收益预测资料与评估目的及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评估假设的适用性。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资产评估专业人员应当关注未来收益预测中经营管理、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4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color w:val="auto"/>
        </w:rPr>
        <w:t>业务架构、主营业务收入、毛利率、营运资金、资本性支出、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资本结构等主要参数与评估假设、价值类型的一致性。当预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测趋势与历史业绩和现实经营状况存在重大差异时，资产评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估专业人员应当要求委托人和其他相关当事人说明差异的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合理性及可持续性，与评估假设、价值类型核查一致后，在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资产评估报告中予以披露。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资产评估专业人员应当按照法律、行政法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规规定，以及被评估单位所在行业现状与发展前景、协议与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章程约定、经营状况、资产特点和资源条件等，恰当确定收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益期。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资产评估专业人员应当知晓企业经营达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到相对稳定前的时间区间是确定预测期的主要因素。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资产评估专业人员应当在对企业收入结构、成本结构、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资本结构、资本性支出、投资收益和风险水平等综合分析的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基础上，结合宏观政策、行业周期及其他影响企业进入稳定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期的因素合理确定预测期。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资产评估专业人员确定折现率，应当综合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7" w:name="page8"/>
    <w:bookmarkEnd w:id="7"/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考虑评估基准日的利率水平、市场投资收益率等资本市场相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关信息和所在行业、被评估单位的特定风险等相关因素。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资产评估专业人员应当根据企业进入稳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定期的因素分析预测期后的收益趋势、终止经营后的处置方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式等，选择恰当的方法估算预测期后的价值。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执行企业价值评估业务可以根据评估对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象特点选择收益法的不同具体方法进行评估。资产评估专业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人员应当根据被评估单位的具体情况选择恰当的预期收益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口径，并确信折现率与预期收益的口径保持一致。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企业价值评估中的市场法，是指将评估对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象与可比上市公司或者可比交易案例进行比较，确定评估对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象价值的评估方法。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资产评估专业人员应当根据所获取可比企业经营和财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务数据的充分性和可靠性、可收集到的可比企业数量，考虑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市场法的适用性。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市场法常用的两种具体方法是上市公司比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较法和交易案例比较法。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上市公司比较法是指获取并分析可比上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市公司的经营和财务数据，计算价值比率，在与被评估单位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比较分析的基础上，确定评估对象价值的具体方法。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上市公司比较法中的可比企业应当是公开市场上正常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交易的上市公司。在切实可行的情况下，评估结论应当考虑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8" w:name="page9"/>
    <w:bookmarkEnd w:id="8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控制权和流动性对评估对象价值的影响。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交易案例比较法是指获取并分析可比企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业的买卖、收购及合并案例资料，计算价值比率，在与被评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估单位比较分析的基础上，确定评估对象价值的具体方法。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控制权以及交易数量可能影响交易案例比较法中的可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比企业交易价格。在切实可行的情况下，应当考虑评估对象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与交易案例在控制权和流动性方面的差异及其对评估对象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价值的影响。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资产评估专业人员应当关注业务结构、经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营模式、企业规模、资产配置和使用情况、企业所处经营阶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段、成长性、经营风险、财务风险等因素，恰当选择与被评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估单位进行比较分析的可比企业。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资产评估专业人员所选择的可比企业与被评估单位应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当具有可比性。可比企业应当与被评估单位属于同一行业，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或者受相同经济因素的影响。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价值比率通常包括盈利比率、资产比率、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收入比率和其他特定比率。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在选择、计算、应用价值比率时，应当考虑：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（一）选择的价值比率有利于合理确定评估对象的价值；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（二）计算价值比率的数据口径及计算方式一致；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（三）应用价值比率时尽可能对可比企业和被评估单位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间的差异进行合理调整。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9" w:name="page10"/>
    <w:bookmarkEnd w:id="9"/>
    <w:p>
      <w:pPr>
        <w:spacing w:after="0" w:line="116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企业价值评估中的资产基础法，是指以被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评估单位评估基准日的资产负债表为基础，评估表内及可识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别的表外各项资产、负债价值，确定评估对象价值的评估方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资产评估专业人员应当根据会计政策、企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业经营等情况，要求被评估单位对资产负债表表内及表外的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各项资产、负债进行识别。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资产评估专业人员应当知晓并非每项资产和负债都可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以被识别并单独评估。当存在对评估对象价值有重大影响且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难以识别和评估的资产或者负债时，应当考虑资产基础法的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适用性。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采用资产基础法进行企业价值评估，各项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资产的价值应当根据其具体情况选用适当的具体评估方法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得出，所选评估方法可能有别于其作为单项资产评估对象时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的具体评估方法，应当考虑其对企业价值的贡献。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资产评估专业人员应当知晓，在对持续经营前提下的企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业价值进行评估时，单项资产或者资产组合作为企业资产的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组成部分，其价值通常受其对企业贡献程度的影响。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第三十八条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采用资产基础法进行企业价值评估，应当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对长期股权投资项目进行分析，根据被评估单位对长期股权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投资项目的实际控制情况以及对评估对象价值的影响程度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等因素，确定是否将其单独评估。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0" w:name="page11"/>
    <w:bookmarkEnd w:id="10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对专门从长期股权投资获取收益的控股型企业进行评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估时，应当考虑控股型企业总部的成本和效益对企业价值的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影响。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both"/>
        <w:ind w:left="360" w:right="366" w:firstLine="643"/>
        <w:spacing w:after="0" w:line="52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第三十九条 </w:t>
      </w:r>
      <w:r>
        <w:rPr>
          <w:rFonts w:ascii="宋体" w:cs="宋体" w:eastAsia="宋体" w:hAnsi="宋体"/>
          <w:sz w:val="32"/>
          <w:szCs w:val="32"/>
          <w:color w:val="auto"/>
        </w:rPr>
        <w:t>对同一评估对象采用多种评估方法时，应当结合评估目的、不同评估方法使用数据的质量和数量，采用定性或者定量分析方式形成评估结论。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66" w:lineRule="exact"/>
        <w:tabs>
          <w:tab w:leader="none" w:pos="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披露要求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采用收益法或者市场法进行企业价值评估，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通常在资产评估报告中重点披露下列内容：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（一）影响企业经营的宏观、区域经济因素；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（二）所在行业现状与发展前景；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（三）企业的业务分析情况；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（四）企业的资产、财务分析和调整情况；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（五）评估方法的运用过程。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在资产评估报告中披露影响企业经营的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宏观、区域经济因素时，通常包括下列内容：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（一）国家、地区有关企业经营的法律、行政法规和其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他相关文件；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（二）国家、地区经济形势及未来发展趋势；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（三）有关财政、货币政策等。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在资产评估报告中披露所在行业现状与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发展前景时，通常包括下列内容：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11" w:name="page12"/>
    <w:bookmarkEnd w:id="1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（一）行业主要政策规定；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（二）行业竞争情况；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（三）行业发展的有利和不利因素；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（四）行业特有的经营模式，行业的周期性、区域性和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季节性特征等；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（五）企业所在行业与上下游行业之间的关联性，上下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游行业发展对本行业发展的有利和不利影响。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在资产评估报告中披露企业的业务分析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情况时，通常包括下列内容：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（一）主要产品或者服务的用途；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（二）经营模式；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（三）经营管理状况；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（四）企业在行业中的地位、竞争优势及劣势；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（五）企业的发展战略及经营策略等。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第四十四条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在资产评估报告中披露企业的资产、财务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254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分析和调整情况时，通常包括下列内容：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（一）资产配置和使用的情况；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（二）历史财务资料的分析总结，一般包括历史年度财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务分析、与所在行业或者可比企业的财务比较分析等；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（三）对财务报表及评估中使用的资料的重大或者实质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性调整。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在资产评估报告中披露评估方法的运用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12" w:name="page13"/>
    <w:bookmarkEnd w:id="12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过程时，通常包括下列内容：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（一）评估方法的选择及其理由；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（二）评估方法的运用和逻辑推理过程；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（三）主要参数的来源、分析、比较和测算过程；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（四）在切实可行的情况下考虑的控制权和流动性影响；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（五）对测算结果进行分析，形成最终评估结论的过程。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资产评估专业人员应当在资产评估报告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中披露无法核查验证的事项及其对评估结论的影响。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第四十七条 </w:t>
      </w:r>
      <w:r>
        <w:rPr>
          <w:rFonts w:ascii="宋体" w:cs="宋体" w:eastAsia="宋体" w:hAnsi="宋体"/>
          <w:sz w:val="32"/>
          <w:szCs w:val="32"/>
          <w:color w:val="auto"/>
        </w:rPr>
        <w:t>资产评估报告应当载明：委托人或者其他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资产评估报告使用人未按照法律、行政法规规定和资产评估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报告载明的使用范围使用资产评估报告的，资产评估机构及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其资产评估专业人员不承担责任；除委托人、资产评估委托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合同中约定的其他资产评估报告使用人和法律、行政法规规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定的资产评估报告使用人之外，其他任何机构和个人不能成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为资产评估报告的使用人。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资产评估专业人员应当在资产评估报告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中提醒资产评估报告使用人正确理解评估结论，评估结论不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等同于评估对象可实现价格，评估结论不应当被认为是对评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估对象可实现价格的保证。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9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资产评估专业人员可以根据评估对象的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复杂程度、委托人要求，确定资产评估报告的详略程度。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3120"/>
        <w:spacing w:after="0" w:line="366" w:lineRule="exact"/>
        <w:tabs>
          <w:tab w:leader="none" w:pos="4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第六章</w:t>
        <w:tab/>
        <w:t>附则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103" w:gutter="0" w:footer="0" w:header="0"/>
        </w:sectPr>
      </w:pPr>
    </w:p>
    <w:bookmarkStart w:id="13" w:name="page14"/>
    <w:bookmarkEnd w:id="13"/>
    <w:p>
      <w:pPr>
        <w:spacing w:after="0" w:line="24" w:lineRule="exact"/>
        <w:rPr>
          <w:sz w:val="20"/>
          <w:szCs w:val="20"/>
          <w:color w:val="auto"/>
        </w:rPr>
      </w:pPr>
    </w:p>
    <w:p>
      <w:pPr>
        <w:ind w:left="1000"/>
        <w:spacing w:after="0" w:line="343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第五十条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 xml:space="preserve">本准则自 </w:t>
      </w:r>
      <w:r>
        <w:rPr>
          <w:rFonts w:ascii="仿宋" w:cs="仿宋" w:eastAsia="仿宋" w:hAnsi="仿宋"/>
          <w:sz w:val="30"/>
          <w:szCs w:val="30"/>
          <w:color w:val="auto"/>
        </w:rPr>
        <w:t>2017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年 </w:t>
      </w:r>
      <w:r>
        <w:rPr>
          <w:rFonts w:ascii="仿宋" w:cs="仿宋" w:eastAsia="仿宋" w:hAnsi="仿宋"/>
          <w:sz w:val="30"/>
          <w:szCs w:val="30"/>
          <w:color w:val="auto"/>
        </w:rPr>
        <w:t>10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月 </w:t>
      </w:r>
      <w:r>
        <w:rPr>
          <w:rFonts w:ascii="仿宋" w:cs="仿宋" w:eastAsia="仿宋" w:hAnsi="仿宋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日起施行。中国资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 xml:space="preserve">产评估协会于 </w:t>
      </w:r>
      <w:r>
        <w:rPr>
          <w:rFonts w:ascii="仿宋" w:cs="仿宋" w:eastAsia="仿宋" w:hAnsi="仿宋"/>
          <w:sz w:val="31"/>
          <w:szCs w:val="31"/>
          <w:color w:val="auto"/>
        </w:rPr>
        <w:t>2011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年 </w:t>
      </w:r>
      <w:r>
        <w:rPr>
          <w:rFonts w:ascii="仿宋" w:cs="仿宋" w:eastAsia="仿宋" w:hAnsi="仿宋"/>
          <w:sz w:val="31"/>
          <w:szCs w:val="31"/>
          <w:color w:val="auto"/>
        </w:rPr>
        <w:t>12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月 </w:t>
      </w:r>
      <w:r>
        <w:rPr>
          <w:rFonts w:ascii="仿宋" w:cs="仿宋" w:eastAsia="仿宋" w:hAnsi="仿宋"/>
          <w:sz w:val="31"/>
          <w:szCs w:val="31"/>
          <w:color w:val="auto"/>
        </w:rPr>
        <w:t>30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日发布的《关于印发〈资产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ind w:left="36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评估准则</w:t>
      </w:r>
      <w:r>
        <w:rPr>
          <w:rFonts w:ascii="Arial" w:cs="Arial" w:eastAsia="Arial" w:hAnsi="Arial"/>
          <w:sz w:val="31"/>
          <w:szCs w:val="31"/>
          <w:color w:val="auto"/>
        </w:rPr>
        <w:t>——</w:t>
      </w:r>
      <w:r>
        <w:rPr>
          <w:rFonts w:ascii="宋体" w:cs="宋体" w:eastAsia="宋体" w:hAnsi="宋体"/>
          <w:sz w:val="31"/>
          <w:szCs w:val="31"/>
          <w:color w:val="auto"/>
        </w:rPr>
        <w:t>企业价值〉的通知》（中评协〔</w:t>
      </w:r>
      <w:r>
        <w:rPr>
          <w:rFonts w:ascii="仿宋" w:cs="仿宋" w:eastAsia="仿宋" w:hAnsi="仿宋"/>
          <w:sz w:val="31"/>
          <w:szCs w:val="31"/>
          <w:color w:val="auto"/>
        </w:rPr>
        <w:t>2011</w:t>
      </w:r>
      <w:r>
        <w:rPr>
          <w:rFonts w:ascii="宋体" w:cs="宋体" w:eastAsia="宋体" w:hAnsi="宋体"/>
          <w:sz w:val="31"/>
          <w:szCs w:val="31"/>
          <w:color w:val="auto"/>
        </w:rPr>
        <w:t>〕</w:t>
      </w:r>
      <w:r>
        <w:rPr>
          <w:rFonts w:ascii="仿宋" w:cs="仿宋" w:eastAsia="仿宋" w:hAnsi="仿宋"/>
          <w:sz w:val="31"/>
          <w:szCs w:val="31"/>
          <w:color w:val="auto"/>
        </w:rPr>
        <w:t>227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</w:t>
      </w:r>
      <w:r>
        <w:rPr>
          <w:rFonts w:ascii="宋体" w:cs="宋体" w:eastAsia="宋体" w:hAnsi="宋体"/>
          <w:sz w:val="31"/>
          <w:szCs w:val="31"/>
          <w:color w:val="auto"/>
        </w:rPr>
        <w:t>号）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同时废止。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2017-09-14T10:39:42Z</dcterms:created>
  <dcterms:modified xsi:type="dcterms:W3CDTF">2017-09-14T10:39:42Z</dcterms:modified>
</cp:coreProperties>
</file>