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jc w:val="center"/>
        <w:ind w:right="6"/>
        <w:spacing w:after="0" w:line="5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资产评估执业准则</w:t>
      </w: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——</w:t>
      </w: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资产评估档案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jc w:val="center"/>
        <w:ind w:left="32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  <w:tab/>
        <w:t>总则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为规范资产评估档案的形成及管理行为，保护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资产评估当事人合法权益和公共利益，根据《资产评估基本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准则》制定本准则。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本准则所称资产评估档案，是指资产评估机构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开展资产评估业务形成的，反映资产评估程序实施情况、支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ind w:right="30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持评估结论的工作底稿、资产评估报告及其他相关资料。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执行资产评估业务，应当遵守本准则。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3080"/>
        <w:spacing w:after="0" w:line="366" w:lineRule="exact"/>
        <w:tabs>
          <w:tab w:leader="none" w:pos="4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  <w:tab/>
        <w:t>工作底稿的编制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执行资产评估业务，应当遵守法律、行政法规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和资产评估准则，编制工作底稿。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工作底稿应当反映资产评估程序实施情况，支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持评估结论。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ind w:left="1000"/>
        <w:spacing w:after="0" w:line="354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工作底稿应当真实完整、重点突出、记录清晰。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资产评估机构及其资产评估专业人员可以根据资产评估业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务具体情况，合理确定工作底稿的繁简程度。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工作底稿可以是纸质文档、电子文档或者其他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介质形式的文档，资产评估机构及其资产评估专业人员应当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根据资产评估业务具体情况谨慎选择工作底稿的形式。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38" w:right="1440" w:bottom="973" w:gutter="0" w:footer="0" w:header="0"/>
        </w:sectPr>
      </w:pPr>
    </w:p>
    <w:bookmarkStart w:id="1" w:name="page2"/>
    <w:bookmarkEnd w:id="1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工作底稿通常分为管理类工作底稿和操作类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工作底稿。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管理类工作底稿是指在执行资产评估业务过程中，为受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理、计划、控制和管理资产评估业务所形成的工作记录及相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关资料。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操作类工作底稿是指在履行现场调查、收集评估资料和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评定估算程序时所形成的工作记录及相关资料。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管理类工作底稿通常包括以下内容</w:t>
      </w:r>
      <w:r>
        <w:rPr>
          <w:rFonts w:ascii="仿宋" w:cs="仿宋" w:eastAsia="仿宋" w:hAnsi="仿宋"/>
          <w:sz w:val="32"/>
          <w:szCs w:val="32"/>
          <w:color w:val="auto"/>
        </w:rPr>
        <w:t>: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（一）资产评估业务基本事项的记录；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（二）资产评估委托合同；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（三）资产评估计划；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（四）资产评估业务执行过程中重大问题处理记录；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（五）资产评估报告的审核意见。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tabs>
          <w:tab w:leader="none" w:pos="22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操作类工作底稿的内容因评估目的、评估对象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和评估方法等不同而有所差异，通常包括以下内容：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（一）现场调查记录与相关资料，通常包括：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1000"/>
        <w:spacing w:after="0" w:line="354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1"/>
          <w:szCs w:val="31"/>
          <w:color w:val="auto"/>
        </w:rPr>
        <w:t>1.</w:t>
      </w:r>
      <w:r>
        <w:rPr>
          <w:rFonts w:ascii="宋体" w:cs="宋体" w:eastAsia="宋体" w:hAnsi="宋体"/>
          <w:sz w:val="31"/>
          <w:szCs w:val="31"/>
          <w:color w:val="auto"/>
        </w:rPr>
        <w:t>委托人或者其他相关当事人提供的资料，如：资产评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估明细表，评估对象的权属证明资料，与评估业务相关的历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史、预测、财务、审计等资料，以及相关说明、证明和承诺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等；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2.</w:t>
      </w:r>
      <w:r>
        <w:rPr>
          <w:rFonts w:ascii="宋体" w:cs="宋体" w:eastAsia="宋体" w:hAnsi="宋体"/>
          <w:sz w:val="32"/>
          <w:szCs w:val="32"/>
          <w:color w:val="auto"/>
        </w:rPr>
        <w:t>现场勘查记录、函证记录等；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仿宋" w:cs="仿宋" w:eastAsia="仿宋" w:hAnsi="仿宋"/>
          <w:sz w:val="32"/>
          <w:szCs w:val="32"/>
          <w:color w:val="auto"/>
        </w:rPr>
        <w:t>3.</w:t>
      </w:r>
      <w:r>
        <w:rPr>
          <w:rFonts w:ascii="宋体" w:cs="宋体" w:eastAsia="宋体" w:hAnsi="宋体"/>
          <w:sz w:val="32"/>
          <w:szCs w:val="32"/>
          <w:color w:val="auto"/>
        </w:rPr>
        <w:t>其他相关资料。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1440" w:gutter="0" w:footer="0" w:header="0"/>
        </w:sectPr>
      </w:pPr>
    </w:p>
    <w:bookmarkStart w:id="2" w:name="page3"/>
    <w:bookmarkEnd w:id="2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（二）收集的评估资料，通常包括：市场调查及数据分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析资料，询价记录，其他专家鉴定及专业人士报告，其他相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关资料。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（三）评定估算过程记录，通常包括：重要参数的选取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和形成过程记录，价值分析、计算、判断过程记录，评估结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论形成过程记录，其他相关资料。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资产评估专业人员收集委托人和其他相关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当事人提供的资产评估明细表及其他重要资料作为工作底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稿，应当由提供方对相关资料进行确认，确认方式包括签字、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盖章或者法律允许的其他方式。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工作底稿中应当反映内部审核过程。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资产评估专业人员应当根据资产评估业务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特点和工作底稿类别，编制工作底稿目录，建立必要的索引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号，以反映工作底稿间的勾稽关系。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ind w:left="2280"/>
        <w:spacing w:after="0" w:line="366" w:lineRule="exact"/>
        <w:tabs>
          <w:tab w:leader="none" w:pos="35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  <w:tab/>
        <w:t>资产评估档案的归集和管理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资产评估专业人员通常应当在资产评估报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 xml:space="preserve">告日后 </w:t>
      </w:r>
      <w:r>
        <w:rPr>
          <w:rFonts w:ascii="仿宋" w:cs="仿宋" w:eastAsia="仿宋" w:hAnsi="仿宋"/>
          <w:sz w:val="32"/>
          <w:szCs w:val="32"/>
          <w:color w:val="auto"/>
        </w:rPr>
        <w:t>90</w:t>
      </w:r>
      <w:r>
        <w:rPr>
          <w:rFonts w:ascii="宋体" w:cs="宋体" w:eastAsia="宋体" w:hAnsi="宋体"/>
          <w:sz w:val="32"/>
          <w:szCs w:val="32"/>
          <w:color w:val="auto"/>
        </w:rPr>
        <w:t xml:space="preserve"> 日内将工作底稿、资产评估报告及其他相关资料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jc w:val="center"/>
        <w:ind w:right="6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归集形成资产评估档案，并由所在资产评估机构按照国家有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关法律、行政法规和本准则规定妥善管理。重大或者特殊项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 xml:space="preserve">目的归档时限不晚于评估结论使用有效期届满后 </w:t>
      </w:r>
      <w:r>
        <w:rPr>
          <w:rFonts w:ascii="仿宋" w:cs="仿宋" w:eastAsia="仿宋" w:hAnsi="仿宋"/>
          <w:sz w:val="32"/>
          <w:szCs w:val="32"/>
          <w:color w:val="auto"/>
        </w:rPr>
        <w:t>30</w:t>
      </w:r>
      <w:r>
        <w:rPr>
          <w:rFonts w:ascii="宋体" w:cs="宋体" w:eastAsia="宋体" w:hAnsi="宋体"/>
          <w:sz w:val="32"/>
          <w:szCs w:val="32"/>
          <w:color w:val="auto"/>
        </w:rPr>
        <w:t xml:space="preserve"> 日。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资产评估档案自资产评估报告日起保存期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限不少于十五年；属于法定资产评估业务的，不少于三十年。</w:t>
      </w:r>
    </w:p>
    <w:p>
      <w:pPr>
        <w:sectPr>
          <w:pgSz w:w="11900" w:h="16838" w:orient="portrait"/>
          <w:cols w:equalWidth="0" w:num="1">
            <w:col w:w="9026"/>
          </w:cols>
          <w:pgMar w:left="1440" w:top="1440" w:right="1440" w:bottom="947" w:gutter="0" w:footer="0" w:header="0"/>
        </w:sectPr>
      </w:pPr>
    </w:p>
    <w:bookmarkStart w:id="3" w:name="page4"/>
    <w:bookmarkEnd w:id="3"/>
    <w:p>
      <w:pPr>
        <w:spacing w:after="0" w:line="104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对电子或者其他介质形式的资产评估档案，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资产评估机构应当在法定保存期限内妥善保存。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资产评估机构不得对在规定保存期内的资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产评估档案非法删改或者销毁。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资产评估档案的管理应当严格执行保密制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度。除下列情形外，资产评估档案不得对外提供：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（一）财政部门依法调阅的；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（二）资产评估协会依法依规调阅的；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（三）其他依法依规查阅的。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center"/>
        <w:ind w:left="32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  <w:tab/>
        <w:t>附则</w:t>
      </w: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ind w:left="1000"/>
        <w:spacing w:after="0" w:line="343" w:lineRule="exact"/>
        <w:tabs>
          <w:tab w:leader="none" w:pos="26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0"/>
          <w:szCs w:val="30"/>
          <w:b w:val="1"/>
          <w:bCs w:val="1"/>
          <w:color w:val="auto"/>
        </w:rPr>
        <w:t>第十九条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 xml:space="preserve">本准则自 </w:t>
      </w:r>
      <w:r>
        <w:rPr>
          <w:rFonts w:ascii="仿宋" w:cs="仿宋" w:eastAsia="仿宋" w:hAnsi="仿宋"/>
          <w:sz w:val="30"/>
          <w:szCs w:val="30"/>
          <w:color w:val="auto"/>
        </w:rPr>
        <w:t>2017</w:t>
      </w:r>
      <w:r>
        <w:rPr>
          <w:rFonts w:ascii="宋体" w:cs="宋体" w:eastAsia="宋体" w:hAnsi="宋体"/>
          <w:sz w:val="30"/>
          <w:szCs w:val="30"/>
          <w:color w:val="auto"/>
        </w:rPr>
        <w:t xml:space="preserve"> 年 </w:t>
      </w:r>
      <w:r>
        <w:rPr>
          <w:rFonts w:ascii="仿宋" w:cs="仿宋" w:eastAsia="仿宋" w:hAnsi="仿宋"/>
          <w:sz w:val="30"/>
          <w:szCs w:val="30"/>
          <w:color w:val="auto"/>
        </w:rPr>
        <w:t>10</w:t>
      </w:r>
      <w:r>
        <w:rPr>
          <w:rFonts w:ascii="宋体" w:cs="宋体" w:eastAsia="宋体" w:hAnsi="宋体"/>
          <w:sz w:val="30"/>
          <w:szCs w:val="30"/>
          <w:color w:val="auto"/>
        </w:rPr>
        <w:t xml:space="preserve"> 月 </w:t>
      </w:r>
      <w:r>
        <w:rPr>
          <w:rFonts w:ascii="仿宋" w:cs="仿宋" w:eastAsia="仿宋" w:hAnsi="仿宋"/>
          <w:sz w:val="30"/>
          <w:szCs w:val="30"/>
          <w:color w:val="auto"/>
        </w:rPr>
        <w:t>1</w:t>
      </w:r>
      <w:r>
        <w:rPr>
          <w:rFonts w:ascii="宋体" w:cs="宋体" w:eastAsia="宋体" w:hAnsi="宋体"/>
          <w:sz w:val="30"/>
          <w:szCs w:val="30"/>
          <w:color w:val="auto"/>
        </w:rPr>
        <w:t xml:space="preserve"> 日起施行。中国资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3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 xml:space="preserve">产评估协会于 </w:t>
      </w:r>
      <w:r>
        <w:rPr>
          <w:rFonts w:ascii="仿宋" w:cs="仿宋" w:eastAsia="仿宋" w:hAnsi="仿宋"/>
          <w:sz w:val="31"/>
          <w:szCs w:val="31"/>
          <w:color w:val="auto"/>
        </w:rPr>
        <w:t>2007</w:t>
      </w:r>
      <w:r>
        <w:rPr>
          <w:rFonts w:ascii="宋体" w:cs="宋体" w:eastAsia="宋体" w:hAnsi="宋体"/>
          <w:sz w:val="31"/>
          <w:szCs w:val="31"/>
          <w:color w:val="auto"/>
        </w:rPr>
        <w:t xml:space="preserve"> 年 </w:t>
      </w:r>
      <w:r>
        <w:rPr>
          <w:rFonts w:ascii="仿宋" w:cs="仿宋" w:eastAsia="仿宋" w:hAnsi="仿宋"/>
          <w:sz w:val="31"/>
          <w:szCs w:val="31"/>
          <w:color w:val="auto"/>
        </w:rPr>
        <w:t>11</w:t>
      </w:r>
      <w:r>
        <w:rPr>
          <w:rFonts w:ascii="宋体" w:cs="宋体" w:eastAsia="宋体" w:hAnsi="宋体"/>
          <w:sz w:val="31"/>
          <w:szCs w:val="31"/>
          <w:color w:val="auto"/>
        </w:rPr>
        <w:t xml:space="preserve"> 月 </w:t>
      </w:r>
      <w:r>
        <w:rPr>
          <w:rFonts w:ascii="仿宋" w:cs="仿宋" w:eastAsia="仿宋" w:hAnsi="仿宋"/>
          <w:sz w:val="31"/>
          <w:szCs w:val="31"/>
          <w:color w:val="auto"/>
        </w:rPr>
        <w:t>28</w:t>
      </w:r>
      <w:r>
        <w:rPr>
          <w:rFonts w:ascii="宋体" w:cs="宋体" w:eastAsia="宋体" w:hAnsi="宋体"/>
          <w:sz w:val="31"/>
          <w:szCs w:val="31"/>
          <w:color w:val="auto"/>
        </w:rPr>
        <w:t xml:space="preserve"> 日发布的《关于印发〈资产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评估准则</w:t>
      </w:r>
      <w:r>
        <w:rPr>
          <w:rFonts w:ascii="Arial" w:cs="Arial" w:eastAsia="Arial" w:hAnsi="Arial"/>
          <w:sz w:val="32"/>
          <w:szCs w:val="32"/>
          <w:color w:val="auto"/>
        </w:rPr>
        <w:t>——</w:t>
      </w:r>
      <w:r>
        <w:rPr>
          <w:rFonts w:ascii="宋体" w:cs="宋体" w:eastAsia="宋体" w:hAnsi="宋体"/>
          <w:sz w:val="32"/>
          <w:szCs w:val="32"/>
          <w:color w:val="auto"/>
        </w:rPr>
        <w:t>评估报告〉等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</w:t>
      </w:r>
      <w:r>
        <w:rPr>
          <w:rFonts w:ascii="仿宋" w:cs="仿宋" w:eastAsia="仿宋" w:hAnsi="仿宋"/>
          <w:sz w:val="32"/>
          <w:szCs w:val="32"/>
          <w:color w:val="auto"/>
        </w:rPr>
        <w:t>7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</w:t>
      </w:r>
      <w:r>
        <w:rPr>
          <w:rFonts w:ascii="宋体" w:cs="宋体" w:eastAsia="宋体" w:hAnsi="宋体"/>
          <w:sz w:val="32"/>
          <w:szCs w:val="32"/>
          <w:color w:val="auto"/>
        </w:rPr>
        <w:t>项资产评估准则的通知》（中</w:t>
      </w:r>
    </w:p>
    <w:p>
      <w:pPr>
        <w:spacing w:after="0" w:line="234" w:lineRule="exact"/>
        <w:rPr>
          <w:sz w:val="20"/>
          <w:szCs w:val="20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评协〔</w:t>
      </w:r>
      <w:r>
        <w:rPr>
          <w:rFonts w:ascii="仿宋" w:cs="仿宋" w:eastAsia="仿宋" w:hAnsi="仿宋"/>
          <w:sz w:val="32"/>
          <w:szCs w:val="32"/>
          <w:color w:val="auto"/>
        </w:rPr>
        <w:t>2007</w:t>
      </w:r>
      <w:r>
        <w:rPr>
          <w:rFonts w:ascii="宋体" w:cs="宋体" w:eastAsia="宋体" w:hAnsi="宋体"/>
          <w:sz w:val="32"/>
          <w:szCs w:val="32"/>
          <w:color w:val="auto"/>
        </w:rPr>
        <w:t>〕</w:t>
      </w:r>
      <w:r>
        <w:rPr>
          <w:rFonts w:ascii="仿宋" w:cs="仿宋" w:eastAsia="仿宋" w:hAnsi="仿宋"/>
          <w:sz w:val="32"/>
          <w:szCs w:val="32"/>
          <w:color w:val="auto"/>
        </w:rPr>
        <w:t>189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</w:t>
      </w:r>
      <w:r>
        <w:rPr>
          <w:rFonts w:ascii="宋体" w:cs="宋体" w:eastAsia="宋体" w:hAnsi="宋体"/>
          <w:sz w:val="32"/>
          <w:szCs w:val="32"/>
          <w:color w:val="auto"/>
        </w:rPr>
        <w:t>号）中的《资产评估准则</w:t>
      </w:r>
      <w:r>
        <w:rPr>
          <w:rFonts w:ascii="Arial" w:cs="Arial" w:eastAsia="Arial" w:hAnsi="Arial"/>
          <w:sz w:val="32"/>
          <w:szCs w:val="32"/>
          <w:color w:val="auto"/>
        </w:rPr>
        <w:t>——</w:t>
      </w:r>
      <w:r>
        <w:rPr>
          <w:rFonts w:ascii="宋体" w:cs="宋体" w:eastAsia="宋体" w:hAnsi="宋体"/>
          <w:sz w:val="32"/>
          <w:szCs w:val="32"/>
          <w:color w:val="auto"/>
        </w:rPr>
        <w:t>工作底稿》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同时废止。</w:t>
      </w:r>
    </w:p>
    <w:sectPr>
      <w:pgSz w:w="11900" w:h="16838" w:orient="portrait"/>
      <w:cols w:equalWidth="0" w:num="1">
        <w:col w:w="9026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2017-09-14T10:40:22Z</dcterms:created>
  <dcterms:modified xsi:type="dcterms:W3CDTF">2017-09-14T10:40:22Z</dcterms:modified>
</cp:coreProperties>
</file>