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60"/>
        <w:spacing w:after="0" w:line="366" w:lineRule="exact"/>
        <w:rPr>
          <w:sz w:val="20"/>
          <w:szCs w:val="20"/>
          <w:color w:val="auto"/>
        </w:rPr>
      </w:pPr>
      <w:r>
        <w:rPr>
          <w:rFonts w:ascii="宋体" w:cs="宋体" w:eastAsia="宋体" w:hAnsi="宋体"/>
          <w:sz w:val="32"/>
          <w:szCs w:val="32"/>
          <w:color w:val="auto"/>
        </w:rPr>
        <w:t>附件</w:t>
      </w:r>
    </w:p>
    <w:p>
      <w:pPr>
        <w:spacing w:after="0" w:line="394" w:lineRule="exact"/>
        <w:rPr>
          <w:sz w:val="24"/>
          <w:szCs w:val="24"/>
          <w:color w:val="auto"/>
        </w:rPr>
      </w:pPr>
    </w:p>
    <w:p>
      <w:pPr>
        <w:jc w:val="center"/>
        <w:ind w:right="6"/>
        <w:spacing w:after="0" w:line="534" w:lineRule="exact"/>
        <w:rPr>
          <w:sz w:val="20"/>
          <w:szCs w:val="20"/>
          <w:color w:val="auto"/>
        </w:rPr>
      </w:pPr>
      <w:r>
        <w:rPr>
          <w:rFonts w:ascii="宋体" w:cs="宋体" w:eastAsia="宋体" w:hAnsi="宋体"/>
          <w:sz w:val="44"/>
          <w:szCs w:val="44"/>
          <w:b w:val="1"/>
          <w:bCs w:val="1"/>
          <w:color w:val="auto"/>
        </w:rPr>
        <w:t>资产评估执业准则</w:t>
      </w:r>
      <w:r>
        <w:rPr>
          <w:rFonts w:ascii="Arial" w:cs="Arial" w:eastAsia="Arial" w:hAnsi="Arial"/>
          <w:sz w:val="44"/>
          <w:szCs w:val="44"/>
          <w:b w:val="1"/>
          <w:bCs w:val="1"/>
          <w:color w:val="auto"/>
        </w:rPr>
        <w:t>——</w:t>
      </w:r>
      <w:r>
        <w:rPr>
          <w:rFonts w:ascii="宋体" w:cs="宋体" w:eastAsia="宋体" w:hAnsi="宋体"/>
          <w:sz w:val="44"/>
          <w:szCs w:val="44"/>
          <w:b w:val="1"/>
          <w:bCs w:val="1"/>
          <w:color w:val="auto"/>
        </w:rPr>
        <w:t>资产评估程序</w:t>
      </w:r>
    </w:p>
    <w:p>
      <w:pPr>
        <w:spacing w:after="0" w:line="200" w:lineRule="exact"/>
        <w:rPr>
          <w:sz w:val="24"/>
          <w:szCs w:val="24"/>
          <w:color w:val="auto"/>
        </w:rPr>
      </w:pPr>
    </w:p>
    <w:p>
      <w:pPr>
        <w:spacing w:after="0" w:line="303"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为规范资产评估机构及其资产评估专业人员</w:t>
      </w:r>
    </w:p>
    <w:p>
      <w:pPr>
        <w:spacing w:after="0" w:line="260"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履行资产评估程序行为，保护资产评估当事人合法权益和公</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共利益，根据《资产评估基本准则》制定本准则。</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本准则所称资产评估程序，是指执行资产评估</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业务所履行的系统性工作步骤。</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2"/>
          <w:szCs w:val="32"/>
          <w:color w:val="auto"/>
        </w:rPr>
        <w:t>执行资产评估业务，应当遵守本准则。</w:t>
      </w:r>
    </w:p>
    <w:p>
      <w:pPr>
        <w:spacing w:after="0" w:line="200" w:lineRule="exact"/>
        <w:rPr>
          <w:sz w:val="24"/>
          <w:szCs w:val="24"/>
          <w:color w:val="auto"/>
        </w:rPr>
      </w:pPr>
    </w:p>
    <w:p>
      <w:pPr>
        <w:spacing w:after="0" w:line="215" w:lineRule="exact"/>
        <w:rPr>
          <w:sz w:val="24"/>
          <w:szCs w:val="24"/>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第二章</w:t>
        <w:tab/>
        <w:t>基本遵循</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2"/>
          <w:szCs w:val="32"/>
          <w:color w:val="auto"/>
        </w:rPr>
        <w:t>执行资产评估业务，应当遵守法律、行政法规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和资产评估准则，履行适当的资产评估程序。</w:t>
      </w:r>
    </w:p>
    <w:p>
      <w:pPr>
        <w:spacing w:after="0" w:line="259" w:lineRule="exact"/>
        <w:rPr>
          <w:sz w:val="24"/>
          <w:szCs w:val="24"/>
          <w:color w:val="auto"/>
        </w:rPr>
      </w:pPr>
    </w:p>
    <w:p>
      <w:pPr>
        <w:ind w:left="1000"/>
        <w:spacing w:after="0" w:line="366" w:lineRule="exact"/>
        <w:tabs>
          <w:tab w:leader="none" w:pos="230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资产评估基本程序包括：明确业务基本事项；</w:t>
      </w:r>
    </w:p>
    <w:p>
      <w:pPr>
        <w:spacing w:after="0" w:line="270"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订立业务委托合同；编制资产评估计划；进行评估现场调查；</w:t>
      </w:r>
    </w:p>
    <w:p>
      <w:pPr>
        <w:spacing w:after="0" w:line="271"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收集整理评估资料；评定估算形成结论；编制出具评估报告；</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整理归集评估档案。</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资产评估机构及其资产评估专业人员应当根据资产评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估业务的具体情况以及重要性原则确定所履行各基本程序</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的繁简程度。</w:t>
      </w:r>
    </w:p>
    <w:p>
      <w:pPr>
        <w:spacing w:after="0" w:line="259" w:lineRule="exact"/>
        <w:rPr>
          <w:sz w:val="24"/>
          <w:szCs w:val="24"/>
          <w:color w:val="auto"/>
        </w:rPr>
      </w:pPr>
    </w:p>
    <w:p>
      <w:pPr>
        <w:ind w:left="1000"/>
        <w:spacing w:after="0" w:line="366" w:lineRule="exact"/>
        <w:rPr>
          <w:sz w:val="20"/>
          <w:szCs w:val="20"/>
          <w:color w:val="auto"/>
        </w:rPr>
      </w:pPr>
      <w:r>
        <w:rPr>
          <w:rFonts w:ascii="宋体" w:cs="宋体" w:eastAsia="宋体" w:hAnsi="宋体"/>
          <w:sz w:val="32"/>
          <w:szCs w:val="32"/>
          <w:color w:val="auto"/>
        </w:rPr>
        <w:t>资产评估机构及其资产评估专业人员不得随意减少资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产评估基本程序。</w:t>
      </w:r>
    </w:p>
    <w:p>
      <w:pPr>
        <w:sectPr>
          <w:pgSz w:w="11900" w:h="16838" w:orient="portrait"/>
          <w:cols w:equalWidth="0" w:num="1">
            <w:col w:w="9026"/>
          </w:cols>
          <w:pgMar w:left="1440" w:top="1438" w:right="1440" w:bottom="973" w:gutter="0" w:footer="0" w:header="0"/>
        </w:sectPr>
      </w:pPr>
    </w:p>
    <w:bookmarkStart w:id="1" w:name="page2"/>
    <w:bookmarkEnd w:id="1"/>
    <w:p>
      <w:pPr>
        <w:spacing w:after="0" w:line="116" w:lineRule="exact"/>
        <w:rPr>
          <w:sz w:val="20"/>
          <w:szCs w:val="20"/>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第六条</w:t>
      </w:r>
      <w:r>
        <w:rPr>
          <w:sz w:val="20"/>
          <w:szCs w:val="20"/>
          <w:color w:val="auto"/>
        </w:rPr>
        <w:tab/>
      </w:r>
      <w:r>
        <w:rPr>
          <w:rFonts w:ascii="宋体" w:cs="宋体" w:eastAsia="宋体" w:hAnsi="宋体"/>
          <w:sz w:val="31"/>
          <w:szCs w:val="31"/>
          <w:color w:val="auto"/>
        </w:rPr>
        <w:t>执行资产评估业务，因法律法规规定、客观条</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件限制，无法或者不能完全履行资产评估基本程序，经采取</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措施弥补程序缺失，且未对评估结论产生重大影响时，资产</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评估机构及其资产评估专业人员可以继续开展业务，对评估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结论产生重大影响的，不得出具资产评估报告。</w:t>
      </w:r>
    </w:p>
    <w:p>
      <w:pPr>
        <w:spacing w:after="0" w:line="260"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资产评估专业人员应当记录评估程序履行情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况，形成工作底稿。</w:t>
      </w:r>
    </w:p>
    <w:p>
      <w:pPr>
        <w:spacing w:after="0" w:line="200" w:lineRule="exact"/>
        <w:rPr>
          <w:sz w:val="20"/>
          <w:szCs w:val="20"/>
          <w:color w:val="auto"/>
        </w:rPr>
      </w:pPr>
    </w:p>
    <w:p>
      <w:pPr>
        <w:spacing w:after="0" w:line="215" w:lineRule="exact"/>
        <w:rPr>
          <w:sz w:val="20"/>
          <w:szCs w:val="20"/>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第三章</w:t>
        <w:tab/>
        <w:t>实施要求</w:t>
      </w:r>
    </w:p>
    <w:p>
      <w:pPr>
        <w:spacing w:after="0" w:line="200" w:lineRule="exact"/>
        <w:rPr>
          <w:sz w:val="20"/>
          <w:szCs w:val="20"/>
          <w:color w:val="auto"/>
        </w:rPr>
      </w:pPr>
    </w:p>
    <w:p>
      <w:pPr>
        <w:spacing w:after="0" w:line="226" w:lineRule="exact"/>
        <w:rPr>
          <w:sz w:val="20"/>
          <w:szCs w:val="20"/>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第八条</w:t>
      </w:r>
      <w:r>
        <w:rPr>
          <w:sz w:val="20"/>
          <w:szCs w:val="20"/>
          <w:color w:val="auto"/>
        </w:rPr>
        <w:tab/>
      </w:r>
      <w:r>
        <w:rPr>
          <w:rFonts w:ascii="宋体" w:cs="宋体" w:eastAsia="宋体" w:hAnsi="宋体"/>
          <w:sz w:val="31"/>
          <w:szCs w:val="31"/>
          <w:color w:val="auto"/>
        </w:rPr>
        <w:t>资产评估机构受理资产评估业务前，应当明确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下列资产评估业务基本事项：</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（一）委托人、产权持有人和委托人以外的其他资产评估报告使用人；</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（二）评估目的；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（三）评估对象和评估范围；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（四）价值类型；</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（五）评估基准日；</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（六）资产评估报告使用范围；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（七）资产评估报告提交期限及方式；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（八）评估服务费及支付方式；</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1"/>
          <w:szCs w:val="31"/>
          <w:color w:val="auto"/>
        </w:rPr>
        <w:t>（九）委托人、其他相关当事人与资产评估机构及其资产评估专业人员工作配合和协助等需要明确的重要事项。</w:t>
      </w:r>
    </w:p>
    <w:p>
      <w:pPr>
        <w:spacing w:after="0" w:line="272" w:lineRule="exact"/>
        <w:rPr>
          <w:sz w:val="20"/>
          <w:szCs w:val="20"/>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第九条</w:t>
      </w:r>
      <w:r>
        <w:rPr>
          <w:sz w:val="20"/>
          <w:szCs w:val="20"/>
          <w:color w:val="auto"/>
        </w:rPr>
        <w:tab/>
      </w:r>
      <w:r>
        <w:rPr>
          <w:rFonts w:ascii="宋体" w:cs="宋体" w:eastAsia="宋体" w:hAnsi="宋体"/>
          <w:sz w:val="31"/>
          <w:szCs w:val="31"/>
          <w:color w:val="auto"/>
        </w:rPr>
        <w:t>资产评估机构应当对专业能力、独立性和业务</w:t>
      </w:r>
    </w:p>
    <w:p>
      <w:pPr>
        <w:sectPr>
          <w:pgSz w:w="11900" w:h="16838" w:orient="portrait"/>
          <w:cols w:equalWidth="0" w:num="1">
            <w:col w:w="9026"/>
          </w:cols>
          <w:pgMar w:left="1440" w:top="1440" w:right="1440" w:bottom="947" w:gutter="0" w:footer="0" w:header="0"/>
        </w:sectPr>
      </w:pPr>
    </w:p>
    <w:bookmarkStart w:id="2" w:name="page3"/>
    <w:bookmarkEnd w:id="2"/>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风险进行综合分析和评价。受理资产评估业务应当满足专业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能力、独立性和业务风险控制要求，否则不得受理。</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第十条</w:t>
      </w:r>
      <w:r>
        <w:rPr>
          <w:sz w:val="20"/>
          <w:szCs w:val="20"/>
          <w:color w:val="auto"/>
        </w:rPr>
        <w:tab/>
      </w:r>
      <w:r>
        <w:rPr>
          <w:rFonts w:ascii="宋体" w:cs="宋体" w:eastAsia="宋体" w:hAnsi="宋体"/>
          <w:sz w:val="32"/>
          <w:szCs w:val="32"/>
          <w:color w:val="auto"/>
        </w:rPr>
        <w:t>资产评估机构受理资产评估业务应当与委托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人依法订立资产评估委托合同，约定资产评估机构和委托人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权利、义务、违约责任和争议解决等内容。</w:t>
      </w:r>
    </w:p>
    <w:p>
      <w:pPr>
        <w:spacing w:after="0" w:line="260"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资产评估专业人员应当根据资产评估业务</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具体情况编制资产评估计划，并合理确定资产评估计划的繁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简程度。资产评估计划包括资产评估业务实施的主要过程及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时间进度、人员安排等。</w:t>
      </w:r>
    </w:p>
    <w:p>
      <w:pPr>
        <w:spacing w:after="0" w:line="307" w:lineRule="exact"/>
        <w:rPr>
          <w:sz w:val="20"/>
          <w:szCs w:val="20"/>
          <w:color w:val="auto"/>
        </w:rPr>
      </w:pPr>
    </w:p>
    <w:p>
      <w:pPr>
        <w:jc w:val="both"/>
        <w:ind w:left="360" w:right="366" w:firstLine="643"/>
        <w:spacing w:after="0" w:line="522" w:lineRule="exact"/>
        <w:rPr>
          <w:sz w:val="20"/>
          <w:szCs w:val="20"/>
          <w:color w:val="auto"/>
        </w:rPr>
      </w:pPr>
      <w:r>
        <w:rPr>
          <w:rFonts w:ascii="宋体" w:cs="宋体" w:eastAsia="宋体" w:hAnsi="宋体"/>
          <w:sz w:val="32"/>
          <w:szCs w:val="32"/>
          <w:b w:val="1"/>
          <w:bCs w:val="1"/>
          <w:color w:val="auto"/>
        </w:rPr>
        <w:t xml:space="preserve">第十二条 </w:t>
      </w:r>
      <w:r>
        <w:rPr>
          <w:rFonts w:ascii="宋体" w:cs="宋体" w:eastAsia="宋体" w:hAnsi="宋体"/>
          <w:sz w:val="32"/>
          <w:szCs w:val="32"/>
          <w:color w:val="auto"/>
        </w:rPr>
        <w:t>执行资产评估业务，应当对评估对象进行现场调查，获取评估业务需要的资料，了解评估对象现状，关注评估对象法律权属。</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现场调查手段通常包括询问、访谈、核对、监盘、勘查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等。</w:t>
      </w:r>
    </w:p>
    <w:p>
      <w:pPr>
        <w:spacing w:after="0" w:line="307" w:lineRule="exact"/>
        <w:rPr>
          <w:sz w:val="20"/>
          <w:szCs w:val="20"/>
          <w:color w:val="auto"/>
        </w:rPr>
      </w:pPr>
    </w:p>
    <w:p>
      <w:pPr>
        <w:ind w:left="360" w:right="666" w:firstLine="641"/>
        <w:spacing w:after="0" w:line="470" w:lineRule="exact"/>
        <w:rPr>
          <w:sz w:val="20"/>
          <w:szCs w:val="20"/>
          <w:color w:val="auto"/>
        </w:rPr>
      </w:pPr>
      <w:r>
        <w:rPr>
          <w:rFonts w:ascii="宋体" w:cs="宋体" w:eastAsia="宋体" w:hAnsi="宋体"/>
          <w:sz w:val="32"/>
          <w:szCs w:val="32"/>
          <w:color w:val="auto"/>
        </w:rPr>
        <w:t>资产评估专业人员可以根据重要性原则采用逐项或者抽样的方式进行现场调查。</w:t>
      </w:r>
    </w:p>
    <w:p>
      <w:pPr>
        <w:spacing w:after="0" w:line="261"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第十三条</w:t>
      </w:r>
      <w:r>
        <w:rPr>
          <w:sz w:val="20"/>
          <w:szCs w:val="20"/>
          <w:color w:val="auto"/>
        </w:rPr>
        <w:tab/>
      </w:r>
      <w:r>
        <w:rPr>
          <w:rFonts w:ascii="宋体" w:cs="宋体" w:eastAsia="宋体" w:hAnsi="宋体"/>
          <w:sz w:val="32"/>
          <w:szCs w:val="32"/>
          <w:color w:val="auto"/>
        </w:rPr>
        <w:t>资产评估专业人员应当根据资产评估业务</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具体情况收集资产评估业务需要的资料。包括：委托人或者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其他相关当事人提供的涉及评估对象和评估范围等资料；从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政府部门、各类专业机构以及市场等渠道获取的其他资料。</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资产评估专业人员应当要求委托人或者其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他相关当事人提供涉及评估对象和评估范围的必要资料。</w:t>
      </w:r>
    </w:p>
    <w:p>
      <w:pPr>
        <w:sectPr>
          <w:pgSz w:w="11900" w:h="16838" w:orient="portrait"/>
          <w:cols w:equalWidth="0" w:num="1">
            <w:col w:w="9026"/>
          </w:cols>
          <w:pgMar w:left="1440" w:top="1440" w:right="1440" w:bottom="1440" w:gutter="0" w:footer="0" w:header="0"/>
        </w:sectPr>
      </w:pPr>
    </w:p>
    <w:bookmarkStart w:id="3" w:name="page4"/>
    <w:bookmarkEnd w:id="3"/>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资产评估专业人员应当要求委托人或者其他相关当事</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人对其提供的资产评估明细表及其他重要资料进行确认，确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认方式包括签字、盖章及法律允许的其他方式。</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资产评估专业人员应当依法对资产评估活</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动中使用的资料进行核查验证。核查验证的方式通常包括观</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察、询问、书面审查、实地调查、查询、函证、复核等。</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第十六条</w:t>
      </w:r>
      <w:r>
        <w:rPr>
          <w:sz w:val="20"/>
          <w:szCs w:val="20"/>
          <w:color w:val="auto"/>
        </w:rPr>
        <w:tab/>
      </w:r>
      <w:r>
        <w:rPr>
          <w:rFonts w:ascii="宋体" w:cs="宋体" w:eastAsia="宋体" w:hAnsi="宋体"/>
          <w:sz w:val="32"/>
          <w:szCs w:val="32"/>
          <w:color w:val="auto"/>
        </w:rPr>
        <w:t>超出资产评估专业人员专业能力范畴的核</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查验证事项，资产评估专业人员应当委托或者要求委托人委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托其他专业机构出具意见。</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因法律法规规定、客观条件限制无法实施核查验证的事</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项，资产评估专业人员应当在工作底稿中予以说明，分析其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对评估结论的影响程度</w:t>
      </w:r>
      <w:r>
        <w:rPr>
          <w:rFonts w:ascii="仿宋" w:cs="仿宋" w:eastAsia="仿宋" w:hAnsi="仿宋"/>
          <w:sz w:val="32"/>
          <w:szCs w:val="32"/>
          <w:color w:val="auto"/>
        </w:rPr>
        <w:t>,</w:t>
      </w:r>
      <w:r>
        <w:rPr>
          <w:rFonts w:ascii="宋体" w:cs="宋体" w:eastAsia="宋体" w:hAnsi="宋体"/>
          <w:sz w:val="32"/>
          <w:szCs w:val="32"/>
          <w:color w:val="auto"/>
        </w:rPr>
        <w:t>并在资产评估报告中予以披露。如</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果上述事项对评估结论产生重大影响，资产评估机构不得出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具资产评估报告。</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第十七条</w:t>
      </w:r>
      <w:r>
        <w:rPr>
          <w:sz w:val="20"/>
          <w:szCs w:val="20"/>
          <w:color w:val="auto"/>
        </w:rPr>
        <w:tab/>
      </w:r>
      <w:r>
        <w:rPr>
          <w:rFonts w:ascii="宋体" w:cs="宋体" w:eastAsia="宋体" w:hAnsi="宋体"/>
          <w:sz w:val="32"/>
          <w:szCs w:val="32"/>
          <w:color w:val="auto"/>
        </w:rPr>
        <w:t>资产评估专业人员应当根据资产评估业务</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具体情况对收集的评估资料进行分析、归纳和整理，形成评</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定估算和编制资产评估报告的依据。</w:t>
      </w:r>
    </w:p>
    <w:p>
      <w:pPr>
        <w:spacing w:after="0" w:line="270" w:lineRule="exact"/>
        <w:rPr>
          <w:sz w:val="20"/>
          <w:szCs w:val="20"/>
          <w:color w:val="auto"/>
        </w:rPr>
      </w:pPr>
    </w:p>
    <w:p>
      <w:pPr>
        <w:ind w:left="1000"/>
        <w:spacing w:after="0" w:line="354" w:lineRule="exact"/>
        <w:tabs>
          <w:tab w:leader="none" w:pos="2580" w:val="left"/>
        </w:tabs>
        <w:rPr>
          <w:sz w:val="20"/>
          <w:szCs w:val="20"/>
          <w:color w:val="auto"/>
        </w:rPr>
      </w:pPr>
      <w:r>
        <w:rPr>
          <w:rFonts w:ascii="宋体" w:cs="宋体" w:eastAsia="宋体" w:hAnsi="宋体"/>
          <w:sz w:val="31"/>
          <w:szCs w:val="31"/>
          <w:b w:val="1"/>
          <w:bCs w:val="1"/>
          <w:color w:val="auto"/>
        </w:rPr>
        <w:t>第十八条</w:t>
      </w:r>
      <w:r>
        <w:rPr>
          <w:sz w:val="20"/>
          <w:szCs w:val="20"/>
          <w:color w:val="auto"/>
        </w:rPr>
        <w:tab/>
      </w:r>
      <w:r>
        <w:rPr>
          <w:rFonts w:ascii="宋体" w:cs="宋体" w:eastAsia="宋体" w:hAnsi="宋体"/>
          <w:sz w:val="31"/>
          <w:szCs w:val="31"/>
          <w:color w:val="auto"/>
        </w:rPr>
        <w:t>资产评估专业人员应当根据评估目的、评估</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对象、价值类型、资料收集等情况，分析市场法、收益法和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成本法三种资产评估基本方法的适用性，选择评估方法。</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资产评估专业人员应当根据所采用的评估</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方法，选取相应的公式和参数进行分析、计算和判断，形成</w:t>
      </w:r>
    </w:p>
    <w:p>
      <w:pPr>
        <w:sectPr>
          <w:pgSz w:w="11900" w:h="16838" w:orient="portrait"/>
          <w:cols w:equalWidth="0" w:num="1">
            <w:col w:w="9026"/>
          </w:cols>
          <w:pgMar w:left="1440" w:top="1440" w:right="1440" w:bottom="1440" w:gutter="0" w:footer="0" w:header="0"/>
        </w:sectPr>
      </w:pPr>
    </w:p>
    <w:bookmarkStart w:id="4" w:name="page5"/>
    <w:bookmarkEnd w:id="4"/>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测算结果。</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资产评估专业人员应当对形成的测算结果</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进行综合分析，形成评估结论。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对同一评估对象采用多种评估方法时，应当对采用各种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方法评估形成的测算结果进行分析比较，确定评估结论。</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资产评估专业人员应当在评定、估算形成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评估结论后，编制初步资产评估报告。</w:t>
      </w:r>
    </w:p>
    <w:p>
      <w:pPr>
        <w:spacing w:after="0" w:line="259" w:lineRule="exact"/>
        <w:rPr>
          <w:sz w:val="20"/>
          <w:szCs w:val="20"/>
          <w:color w:val="auto"/>
        </w:rPr>
      </w:pPr>
    </w:p>
    <w:p>
      <w:pPr>
        <w:ind w:left="1000"/>
        <w:spacing w:after="0" w:line="366" w:lineRule="exact"/>
        <w:tabs>
          <w:tab w:leader="none" w:pos="294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资产评估机构应当按照法律、行政法规、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资产评估准则和资产评估机构内部质量控制制度，对初步资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产评估报告进行内部审核。</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第二十三条</w:t>
      </w:r>
      <w:r>
        <w:rPr>
          <w:sz w:val="20"/>
          <w:szCs w:val="20"/>
          <w:color w:val="auto"/>
        </w:rPr>
        <w:tab/>
      </w:r>
      <w:r>
        <w:rPr>
          <w:rFonts w:ascii="宋体" w:cs="宋体" w:eastAsia="宋体" w:hAnsi="宋体"/>
          <w:sz w:val="32"/>
          <w:szCs w:val="32"/>
          <w:color w:val="auto"/>
        </w:rPr>
        <w:t>资产评估机构出具资产评估报告前，在不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影响对评估结论进行独立判断的前提下，可以与委托人或者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委托人同意的其他相关当事人就资产评估报告有关内容进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行沟通。</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资产评估机构及其资产评估专业人员完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成上述资产评估程序后，由资产评估机构出具并提交资产评</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估报告。</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第二十五条</w:t>
      </w:r>
      <w:r>
        <w:rPr>
          <w:sz w:val="20"/>
          <w:szCs w:val="20"/>
          <w:color w:val="auto"/>
        </w:rPr>
        <w:tab/>
      </w:r>
      <w:r>
        <w:rPr>
          <w:rFonts w:ascii="宋体" w:cs="宋体" w:eastAsia="宋体" w:hAnsi="宋体"/>
          <w:sz w:val="32"/>
          <w:szCs w:val="32"/>
          <w:color w:val="auto"/>
        </w:rPr>
        <w:t>资产评估机构应当对工作底稿、资产评估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报告及其他相关资料进行整理，形成资产评估档案。</w:t>
      </w:r>
    </w:p>
    <w:p>
      <w:pPr>
        <w:spacing w:after="0" w:line="200" w:lineRule="exact"/>
        <w:rPr>
          <w:sz w:val="20"/>
          <w:szCs w:val="20"/>
          <w:color w:val="auto"/>
        </w:rPr>
      </w:pPr>
    </w:p>
    <w:p>
      <w:pPr>
        <w:spacing w:after="0" w:line="215"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第四章</w:t>
        <w:tab/>
        <w:t>附则</w:t>
      </w:r>
    </w:p>
    <w:p>
      <w:pPr>
        <w:spacing w:after="0" w:line="200" w:lineRule="exact"/>
        <w:rPr>
          <w:sz w:val="20"/>
          <w:szCs w:val="20"/>
          <w:color w:val="auto"/>
        </w:rPr>
      </w:pPr>
    </w:p>
    <w:p>
      <w:pPr>
        <w:spacing w:after="0" w:line="238" w:lineRule="exact"/>
        <w:rPr>
          <w:sz w:val="20"/>
          <w:szCs w:val="20"/>
          <w:color w:val="auto"/>
        </w:rPr>
      </w:pPr>
    </w:p>
    <w:p>
      <w:pPr>
        <w:ind w:left="1000"/>
        <w:spacing w:after="0" w:line="343" w:lineRule="exact"/>
        <w:tabs>
          <w:tab w:leader="none" w:pos="2920" w:val="left"/>
        </w:tabs>
        <w:rPr>
          <w:sz w:val="20"/>
          <w:szCs w:val="20"/>
          <w:color w:val="auto"/>
        </w:rPr>
      </w:pPr>
      <w:r>
        <w:rPr>
          <w:rFonts w:ascii="宋体" w:cs="宋体" w:eastAsia="宋体" w:hAnsi="宋体"/>
          <w:sz w:val="30"/>
          <w:szCs w:val="30"/>
          <w:b w:val="1"/>
          <w:bCs w:val="1"/>
          <w:color w:val="auto"/>
        </w:rPr>
        <w:t>第二十六条</w:t>
      </w:r>
      <w:r>
        <w:rPr>
          <w:sz w:val="20"/>
          <w:szCs w:val="20"/>
          <w:color w:val="auto"/>
        </w:rPr>
        <w:tab/>
      </w:r>
      <w:r>
        <w:rPr>
          <w:rFonts w:ascii="宋体" w:cs="宋体" w:eastAsia="宋体" w:hAnsi="宋体"/>
          <w:sz w:val="30"/>
          <w:szCs w:val="30"/>
          <w:color w:val="auto"/>
        </w:rPr>
        <w:t xml:space="preserve">本准则自 </w:t>
      </w:r>
      <w:r>
        <w:rPr>
          <w:rFonts w:ascii="仿宋" w:cs="仿宋" w:eastAsia="仿宋" w:hAnsi="仿宋"/>
          <w:sz w:val="30"/>
          <w:szCs w:val="30"/>
          <w:color w:val="auto"/>
        </w:rPr>
        <w:t>2017</w:t>
      </w:r>
      <w:r>
        <w:rPr>
          <w:rFonts w:ascii="宋体" w:cs="宋体" w:eastAsia="宋体" w:hAnsi="宋体"/>
          <w:sz w:val="30"/>
          <w:szCs w:val="30"/>
          <w:color w:val="auto"/>
        </w:rPr>
        <w:t xml:space="preserve"> 年 </w:t>
      </w:r>
      <w:r>
        <w:rPr>
          <w:rFonts w:ascii="仿宋" w:cs="仿宋" w:eastAsia="仿宋" w:hAnsi="仿宋"/>
          <w:sz w:val="30"/>
          <w:szCs w:val="30"/>
          <w:color w:val="auto"/>
        </w:rPr>
        <w:t>10</w:t>
      </w:r>
      <w:r>
        <w:rPr>
          <w:rFonts w:ascii="宋体" w:cs="宋体" w:eastAsia="宋体" w:hAnsi="宋体"/>
          <w:sz w:val="30"/>
          <w:szCs w:val="30"/>
          <w:color w:val="auto"/>
        </w:rPr>
        <w:t xml:space="preserve"> 月 </w:t>
      </w:r>
      <w:r>
        <w:rPr>
          <w:rFonts w:ascii="仿宋" w:cs="仿宋" w:eastAsia="仿宋" w:hAnsi="仿宋"/>
          <w:sz w:val="30"/>
          <w:szCs w:val="30"/>
          <w:color w:val="auto"/>
        </w:rPr>
        <w:t>1</w:t>
      </w:r>
      <w:r>
        <w:rPr>
          <w:rFonts w:ascii="宋体" w:cs="宋体" w:eastAsia="宋体" w:hAnsi="宋体"/>
          <w:sz w:val="30"/>
          <w:szCs w:val="30"/>
          <w:color w:val="auto"/>
        </w:rPr>
        <w:t xml:space="preserve"> 日起施行。中国</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 xml:space="preserve">资产评估协会于 </w:t>
      </w:r>
      <w:r>
        <w:rPr>
          <w:rFonts w:ascii="仿宋" w:cs="仿宋" w:eastAsia="仿宋" w:hAnsi="仿宋"/>
          <w:sz w:val="31"/>
          <w:szCs w:val="31"/>
          <w:color w:val="auto"/>
        </w:rPr>
        <w:t>2007</w:t>
      </w:r>
      <w:r>
        <w:rPr>
          <w:rFonts w:ascii="宋体" w:cs="宋体" w:eastAsia="宋体" w:hAnsi="宋体"/>
          <w:sz w:val="31"/>
          <w:szCs w:val="31"/>
          <w:color w:val="auto"/>
        </w:rPr>
        <w:t xml:space="preserve"> 年 </w:t>
      </w:r>
      <w:r>
        <w:rPr>
          <w:rFonts w:ascii="仿宋" w:cs="仿宋" w:eastAsia="仿宋" w:hAnsi="仿宋"/>
          <w:sz w:val="31"/>
          <w:szCs w:val="31"/>
          <w:color w:val="auto"/>
        </w:rPr>
        <w:t>11</w:t>
      </w:r>
      <w:r>
        <w:rPr>
          <w:rFonts w:ascii="宋体" w:cs="宋体" w:eastAsia="宋体" w:hAnsi="宋体"/>
          <w:sz w:val="31"/>
          <w:szCs w:val="31"/>
          <w:color w:val="auto"/>
        </w:rPr>
        <w:t xml:space="preserve"> 月 </w:t>
      </w:r>
      <w:r>
        <w:rPr>
          <w:rFonts w:ascii="仿宋" w:cs="仿宋" w:eastAsia="仿宋" w:hAnsi="仿宋"/>
          <w:sz w:val="31"/>
          <w:szCs w:val="31"/>
          <w:color w:val="auto"/>
        </w:rPr>
        <w:t>28</w:t>
      </w:r>
      <w:r>
        <w:rPr>
          <w:rFonts w:ascii="宋体" w:cs="宋体" w:eastAsia="宋体" w:hAnsi="宋体"/>
          <w:sz w:val="31"/>
          <w:szCs w:val="31"/>
          <w:color w:val="auto"/>
        </w:rPr>
        <w:t xml:space="preserve"> 日发布的《关于印发〈资</w:t>
      </w:r>
    </w:p>
    <w:p>
      <w:pPr>
        <w:sectPr>
          <w:pgSz w:w="11900" w:h="16838" w:orient="portrait"/>
          <w:cols w:equalWidth="0" w:num="1">
            <w:col w:w="9026"/>
          </w:cols>
          <w:pgMar w:left="1440" w:top="1440" w:right="1440" w:bottom="947" w:gutter="0" w:footer="0" w:header="0"/>
        </w:sectPr>
      </w:pPr>
    </w:p>
    <w:bookmarkStart w:id="5" w:name="page6"/>
    <w:bookmarkEnd w:id="5"/>
    <w:p>
      <w:pPr>
        <w:spacing w:after="0" w:line="106" w:lineRule="exact"/>
        <w:rPr>
          <w:sz w:val="20"/>
          <w:szCs w:val="20"/>
          <w:color w:val="auto"/>
        </w:rPr>
      </w:pPr>
    </w:p>
    <w:p>
      <w:pPr>
        <w:jc w:val="center"/>
        <w:ind w:right="6"/>
        <w:spacing w:after="0" w:line="364" w:lineRule="exact"/>
        <w:rPr>
          <w:sz w:val="20"/>
          <w:szCs w:val="20"/>
          <w:color w:val="auto"/>
        </w:rPr>
      </w:pPr>
      <w:r>
        <w:rPr>
          <w:rFonts w:ascii="宋体" w:cs="宋体" w:eastAsia="宋体" w:hAnsi="宋体"/>
          <w:sz w:val="30"/>
          <w:szCs w:val="30"/>
          <w:color w:val="auto"/>
        </w:rPr>
        <w:t>产评估准则</w:t>
      </w:r>
      <w:r>
        <w:rPr>
          <w:rFonts w:ascii="Arial" w:cs="Arial" w:eastAsia="Arial" w:hAnsi="Arial"/>
          <w:sz w:val="30"/>
          <w:szCs w:val="30"/>
          <w:color w:val="auto"/>
        </w:rPr>
        <w:t>——</w:t>
      </w:r>
      <w:r>
        <w:rPr>
          <w:rFonts w:ascii="宋体" w:cs="宋体" w:eastAsia="宋体" w:hAnsi="宋体"/>
          <w:sz w:val="30"/>
          <w:szCs w:val="30"/>
          <w:color w:val="auto"/>
        </w:rPr>
        <w:t>评估报告〉等</w:t>
      </w:r>
      <w:r>
        <w:rPr>
          <w:rFonts w:ascii="Arial" w:cs="Arial" w:eastAsia="Arial" w:hAnsi="Arial"/>
          <w:sz w:val="30"/>
          <w:szCs w:val="30"/>
          <w:color w:val="auto"/>
        </w:rPr>
        <w:t xml:space="preserve"> </w:t>
      </w:r>
      <w:r>
        <w:rPr>
          <w:rFonts w:ascii="仿宋" w:cs="仿宋" w:eastAsia="仿宋" w:hAnsi="仿宋"/>
          <w:sz w:val="30"/>
          <w:szCs w:val="30"/>
          <w:color w:val="auto"/>
        </w:rPr>
        <w:t>7</w:t>
      </w:r>
      <w:r>
        <w:rPr>
          <w:rFonts w:ascii="Arial" w:cs="Arial" w:eastAsia="Arial" w:hAnsi="Arial"/>
          <w:sz w:val="30"/>
          <w:szCs w:val="30"/>
          <w:color w:val="auto"/>
        </w:rPr>
        <w:t xml:space="preserve"> </w:t>
      </w:r>
      <w:r>
        <w:rPr>
          <w:rFonts w:ascii="宋体" w:cs="宋体" w:eastAsia="宋体" w:hAnsi="宋体"/>
          <w:sz w:val="30"/>
          <w:szCs w:val="30"/>
          <w:color w:val="auto"/>
        </w:rPr>
        <w:t>项资产评估准则的通知》（中</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评协〔</w:t>
      </w:r>
      <w:r>
        <w:rPr>
          <w:rFonts w:ascii="仿宋" w:cs="仿宋" w:eastAsia="仿宋" w:hAnsi="仿宋"/>
          <w:sz w:val="32"/>
          <w:szCs w:val="32"/>
          <w:color w:val="auto"/>
        </w:rPr>
        <w:t>2007</w:t>
      </w:r>
      <w:r>
        <w:rPr>
          <w:rFonts w:ascii="宋体" w:cs="宋体" w:eastAsia="宋体" w:hAnsi="宋体"/>
          <w:sz w:val="32"/>
          <w:szCs w:val="32"/>
          <w:color w:val="auto"/>
        </w:rPr>
        <w:t>〕</w:t>
      </w:r>
      <w:r>
        <w:rPr>
          <w:rFonts w:ascii="仿宋" w:cs="仿宋" w:eastAsia="仿宋" w:hAnsi="仿宋"/>
          <w:sz w:val="32"/>
          <w:szCs w:val="32"/>
          <w:color w:val="auto"/>
        </w:rPr>
        <w:t>189</w:t>
      </w:r>
      <w:r>
        <w:rPr>
          <w:rFonts w:ascii="Arial" w:cs="Arial" w:eastAsia="Arial" w:hAnsi="Arial"/>
          <w:sz w:val="32"/>
          <w:szCs w:val="32"/>
          <w:color w:val="auto"/>
        </w:rPr>
        <w:t xml:space="preserve"> </w:t>
      </w:r>
      <w:r>
        <w:rPr>
          <w:rFonts w:ascii="宋体" w:cs="宋体" w:eastAsia="宋体" w:hAnsi="宋体"/>
          <w:sz w:val="32"/>
          <w:szCs w:val="32"/>
          <w:color w:val="auto"/>
        </w:rPr>
        <w:t>号）中的《资产评估准则</w:t>
      </w:r>
      <w:r>
        <w:rPr>
          <w:rFonts w:ascii="Arial" w:cs="Arial" w:eastAsia="Arial" w:hAnsi="Arial"/>
          <w:sz w:val="32"/>
          <w:szCs w:val="32"/>
          <w:color w:val="auto"/>
        </w:rPr>
        <w:t>——</w:t>
      </w:r>
      <w:r>
        <w:rPr>
          <w:rFonts w:ascii="宋体" w:cs="宋体" w:eastAsia="宋体" w:hAnsi="宋体"/>
          <w:sz w:val="32"/>
          <w:szCs w:val="32"/>
          <w:color w:val="auto"/>
        </w:rPr>
        <w:t>评估程序》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同时废止。</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2017-09-14T10:40:21Z</dcterms:created>
  <dcterms:modified xsi:type="dcterms:W3CDTF">2017-09-14T10:40:21Z</dcterms:modified>
</cp:coreProperties>
</file>